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7C63C" w14:textId="77777777" w:rsidR="00E74EE9" w:rsidRDefault="00E74EE9" w:rsidP="00E74EE9">
      <w:pPr>
        <w:pStyle w:val="Heading1"/>
        <w:spacing w:before="200" w:after="0"/>
        <w:rPr>
          <w:vertAlign w:val="superscript"/>
        </w:rPr>
      </w:pPr>
      <w:bookmarkStart w:id="0" w:name="_heading=h.7nwo2hhhq1wm" w:colFirst="0" w:colLast="0"/>
      <w:bookmarkEnd w:id="0"/>
      <w:r>
        <w:rPr>
          <w:sz w:val="38"/>
          <w:szCs w:val="38"/>
        </w:rPr>
        <w:t>Evaluation Rubric: Edtech Technical Assistance Resources</w:t>
      </w:r>
      <w:r>
        <w:rPr>
          <w:sz w:val="38"/>
          <w:szCs w:val="38"/>
          <w:vertAlign w:val="superscript"/>
        </w:rPr>
        <w:t>1</w:t>
      </w:r>
    </w:p>
    <w:p w14:paraId="169CE974" w14:textId="77777777" w:rsidR="00E74EE9" w:rsidRDefault="00E74EE9" w:rsidP="00E74EE9">
      <w:pPr>
        <w:rPr>
          <w:sz w:val="22"/>
          <w:szCs w:val="22"/>
        </w:rPr>
      </w:pPr>
      <w:r>
        <w:rPr>
          <w:sz w:val="22"/>
          <w:szCs w:val="22"/>
        </w:rPr>
        <w:t xml:space="preserve">This rubric can help you determine the quality of guidance provided in a technical assistance resource. Use of the scoring is optional; do use it to reflect on the potential of the resource as you comment. </w:t>
      </w:r>
    </w:p>
    <w:tbl>
      <w:tblPr>
        <w:tblW w:w="106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Criteria, Description, and Ratings"/>
        <w:tblDescription w:val="Content Quality&#10;Ease of use; accessibility&#10;"/>
      </w:tblPr>
      <w:tblGrid>
        <w:gridCol w:w="3320"/>
        <w:gridCol w:w="5940"/>
        <w:gridCol w:w="450"/>
        <w:gridCol w:w="450"/>
        <w:gridCol w:w="450"/>
      </w:tblGrid>
      <w:tr w:rsidR="00E74EE9" w14:paraId="24276EDE" w14:textId="77777777" w:rsidTr="007A2BE7">
        <w:trPr>
          <w:tblHeader/>
          <w:jc w:val="center"/>
        </w:trPr>
        <w:tc>
          <w:tcPr>
            <w:tcW w:w="3320" w:type="dxa"/>
            <w:shd w:val="clear" w:color="auto" w:fill="2F5496" w:themeFill="accent1" w:themeFillShade="BF"/>
            <w:tcMar>
              <w:top w:w="100" w:type="dxa"/>
              <w:left w:w="100" w:type="dxa"/>
              <w:bottom w:w="100" w:type="dxa"/>
              <w:right w:w="100" w:type="dxa"/>
            </w:tcMar>
          </w:tcPr>
          <w:p w14:paraId="1CB4D212" w14:textId="77777777" w:rsidR="00E74EE9" w:rsidRDefault="00E74EE9" w:rsidP="007A2BE7">
            <w:pPr>
              <w:widowControl w:val="0"/>
              <w:spacing w:before="0" w:after="0" w:line="240" w:lineRule="auto"/>
              <w:jc w:val="center"/>
              <w:rPr>
                <w:b/>
                <w:color w:val="FFFFFF"/>
              </w:rPr>
            </w:pPr>
            <w:r>
              <w:rPr>
                <w:b/>
                <w:color w:val="FFFFFF"/>
              </w:rPr>
              <w:t>Criteria</w:t>
            </w:r>
          </w:p>
        </w:tc>
        <w:tc>
          <w:tcPr>
            <w:tcW w:w="5940" w:type="dxa"/>
            <w:shd w:val="clear" w:color="auto" w:fill="2F5496" w:themeFill="accent1" w:themeFillShade="BF"/>
            <w:tcMar>
              <w:top w:w="100" w:type="dxa"/>
              <w:left w:w="100" w:type="dxa"/>
              <w:bottom w:w="100" w:type="dxa"/>
              <w:right w:w="100" w:type="dxa"/>
            </w:tcMar>
          </w:tcPr>
          <w:p w14:paraId="5FEBC897" w14:textId="77777777" w:rsidR="00E74EE9" w:rsidRDefault="00E74EE9" w:rsidP="007A2BE7">
            <w:pPr>
              <w:widowControl w:val="0"/>
              <w:spacing w:before="0" w:after="0" w:line="240" w:lineRule="auto"/>
              <w:jc w:val="center"/>
              <w:rPr>
                <w:b/>
                <w:color w:val="FFFFFF"/>
              </w:rPr>
            </w:pPr>
            <w:r>
              <w:rPr>
                <w:b/>
                <w:color w:val="FFFFFF"/>
              </w:rPr>
              <w:t>Definition</w:t>
            </w:r>
          </w:p>
        </w:tc>
        <w:tc>
          <w:tcPr>
            <w:tcW w:w="450" w:type="dxa"/>
            <w:shd w:val="clear" w:color="auto" w:fill="2F5496" w:themeFill="accent1" w:themeFillShade="BF"/>
            <w:tcMar>
              <w:top w:w="100" w:type="dxa"/>
              <w:left w:w="100" w:type="dxa"/>
              <w:bottom w:w="100" w:type="dxa"/>
              <w:right w:w="100" w:type="dxa"/>
            </w:tcMar>
          </w:tcPr>
          <w:p w14:paraId="737B30B4" w14:textId="77777777" w:rsidR="00E74EE9" w:rsidRDefault="00E74EE9" w:rsidP="007A2BE7">
            <w:pPr>
              <w:widowControl w:val="0"/>
              <w:spacing w:before="0" w:after="0" w:line="240" w:lineRule="auto"/>
              <w:jc w:val="center"/>
              <w:rPr>
                <w:b/>
                <w:color w:val="FFFFFF"/>
              </w:rPr>
            </w:pPr>
            <w:r>
              <w:rPr>
                <w:b/>
                <w:color w:val="FFFFFF"/>
              </w:rPr>
              <w:t>0</w:t>
            </w:r>
          </w:p>
        </w:tc>
        <w:tc>
          <w:tcPr>
            <w:tcW w:w="450" w:type="dxa"/>
            <w:shd w:val="clear" w:color="auto" w:fill="2F5496" w:themeFill="accent1" w:themeFillShade="BF"/>
            <w:tcMar>
              <w:top w:w="100" w:type="dxa"/>
              <w:left w:w="100" w:type="dxa"/>
              <w:bottom w:w="100" w:type="dxa"/>
              <w:right w:w="100" w:type="dxa"/>
            </w:tcMar>
          </w:tcPr>
          <w:p w14:paraId="58086027" w14:textId="77777777" w:rsidR="00E74EE9" w:rsidRDefault="00E74EE9" w:rsidP="007A2BE7">
            <w:pPr>
              <w:widowControl w:val="0"/>
              <w:spacing w:before="0" w:after="0" w:line="240" w:lineRule="auto"/>
              <w:jc w:val="center"/>
              <w:rPr>
                <w:b/>
                <w:color w:val="FFFFFF"/>
              </w:rPr>
            </w:pPr>
            <w:r>
              <w:rPr>
                <w:b/>
                <w:color w:val="FFFFFF"/>
              </w:rPr>
              <w:t>1</w:t>
            </w:r>
          </w:p>
        </w:tc>
        <w:tc>
          <w:tcPr>
            <w:tcW w:w="450" w:type="dxa"/>
            <w:shd w:val="clear" w:color="auto" w:fill="2F5496" w:themeFill="accent1" w:themeFillShade="BF"/>
            <w:tcMar>
              <w:top w:w="100" w:type="dxa"/>
              <w:left w:w="100" w:type="dxa"/>
              <w:bottom w:w="100" w:type="dxa"/>
              <w:right w:w="100" w:type="dxa"/>
            </w:tcMar>
          </w:tcPr>
          <w:p w14:paraId="545D8E42" w14:textId="77777777" w:rsidR="00E74EE9" w:rsidRDefault="00E74EE9" w:rsidP="007A2BE7">
            <w:pPr>
              <w:widowControl w:val="0"/>
              <w:spacing w:before="0" w:after="0" w:line="240" w:lineRule="auto"/>
              <w:jc w:val="center"/>
              <w:rPr>
                <w:b/>
                <w:color w:val="FFFFFF"/>
              </w:rPr>
            </w:pPr>
            <w:r>
              <w:rPr>
                <w:b/>
                <w:color w:val="FFFFFF"/>
              </w:rPr>
              <w:t>2</w:t>
            </w:r>
          </w:p>
        </w:tc>
      </w:tr>
      <w:tr w:rsidR="00E74EE9" w14:paraId="4F9BFF6A" w14:textId="77777777" w:rsidTr="007A2BE7">
        <w:trPr>
          <w:trHeight w:val="432"/>
          <w:jc w:val="center"/>
        </w:trPr>
        <w:tc>
          <w:tcPr>
            <w:tcW w:w="3320" w:type="dxa"/>
            <w:tcBorders>
              <w:bottom w:val="single" w:sz="8" w:space="0" w:color="FFFFFF"/>
            </w:tcBorders>
            <w:tcMar>
              <w:top w:w="100" w:type="dxa"/>
              <w:left w:w="100" w:type="dxa"/>
              <w:bottom w:w="100" w:type="dxa"/>
              <w:right w:w="100" w:type="dxa"/>
            </w:tcMar>
          </w:tcPr>
          <w:p w14:paraId="17D4FBEA" w14:textId="77777777" w:rsidR="00E74EE9" w:rsidRDefault="00E74EE9" w:rsidP="007A2BE7">
            <w:pPr>
              <w:shd w:val="clear" w:color="auto" w:fill="FFFFFF"/>
              <w:spacing w:before="0" w:after="300"/>
              <w:rPr>
                <w:color w:val="222222"/>
                <w:sz w:val="22"/>
                <w:szCs w:val="22"/>
              </w:rPr>
            </w:pPr>
            <w:sdt>
              <w:sdtPr>
                <w:tag w:val="goog_rdk_0"/>
                <w:id w:val="-532647399"/>
              </w:sdtPr>
              <w:sdtContent/>
            </w:sdt>
            <w:sdt>
              <w:sdtPr>
                <w:tag w:val="goog_rdk_1"/>
                <w:id w:val="-2058000102"/>
              </w:sdtPr>
              <w:sdtContent/>
            </w:sdt>
            <w:r>
              <w:rPr>
                <w:color w:val="222222"/>
                <w:sz w:val="22"/>
                <w:szCs w:val="22"/>
              </w:rPr>
              <w:t>Content Quality</w:t>
            </w:r>
          </w:p>
        </w:tc>
        <w:tc>
          <w:tcPr>
            <w:tcW w:w="5940" w:type="dxa"/>
            <w:shd w:val="clear" w:color="auto" w:fill="auto"/>
            <w:tcMar>
              <w:top w:w="100" w:type="dxa"/>
              <w:left w:w="100" w:type="dxa"/>
              <w:bottom w:w="100" w:type="dxa"/>
              <w:right w:w="100" w:type="dxa"/>
            </w:tcMar>
          </w:tcPr>
          <w:p w14:paraId="60D0FB80" w14:textId="77777777" w:rsidR="00E74EE9" w:rsidRDefault="00E74EE9" w:rsidP="007A2BE7">
            <w:pPr>
              <w:spacing w:before="0" w:after="0" w:line="240" w:lineRule="auto"/>
              <w:rPr>
                <w:color w:val="222222"/>
                <w:sz w:val="22"/>
                <w:szCs w:val="22"/>
              </w:rPr>
            </w:pPr>
            <w:r>
              <w:rPr>
                <w:color w:val="222222"/>
                <w:sz w:val="22"/>
                <w:szCs w:val="22"/>
              </w:rPr>
              <w:t>The content in the resource is relevant to adult education practitioners.</w:t>
            </w:r>
          </w:p>
        </w:tc>
        <w:tc>
          <w:tcPr>
            <w:tcW w:w="450" w:type="dxa"/>
            <w:shd w:val="clear" w:color="auto" w:fill="auto"/>
            <w:tcMar>
              <w:top w:w="100" w:type="dxa"/>
              <w:left w:w="100" w:type="dxa"/>
              <w:bottom w:w="100" w:type="dxa"/>
              <w:right w:w="100" w:type="dxa"/>
            </w:tcMar>
          </w:tcPr>
          <w:p w14:paraId="4C4D3FE1" w14:textId="77777777" w:rsidR="00E74EE9" w:rsidRDefault="00E74EE9" w:rsidP="007A2BE7">
            <w:pPr>
              <w:spacing w:before="0" w:after="300" w:line="240" w:lineRule="auto"/>
              <w:rPr>
                <w:color w:val="222222"/>
              </w:rPr>
            </w:pPr>
          </w:p>
        </w:tc>
        <w:tc>
          <w:tcPr>
            <w:tcW w:w="450" w:type="dxa"/>
            <w:shd w:val="clear" w:color="auto" w:fill="auto"/>
            <w:tcMar>
              <w:top w:w="100" w:type="dxa"/>
              <w:left w:w="100" w:type="dxa"/>
              <w:bottom w:w="100" w:type="dxa"/>
              <w:right w:w="100" w:type="dxa"/>
            </w:tcMar>
          </w:tcPr>
          <w:p w14:paraId="4A988789" w14:textId="77777777" w:rsidR="00E74EE9" w:rsidRDefault="00E74EE9" w:rsidP="007A2BE7">
            <w:pPr>
              <w:spacing w:before="0" w:after="300" w:line="240" w:lineRule="auto"/>
              <w:rPr>
                <w:color w:val="222222"/>
              </w:rPr>
            </w:pPr>
          </w:p>
        </w:tc>
        <w:tc>
          <w:tcPr>
            <w:tcW w:w="450" w:type="dxa"/>
            <w:shd w:val="clear" w:color="auto" w:fill="auto"/>
            <w:tcMar>
              <w:top w:w="100" w:type="dxa"/>
              <w:left w:w="100" w:type="dxa"/>
              <w:bottom w:w="100" w:type="dxa"/>
              <w:right w:w="100" w:type="dxa"/>
            </w:tcMar>
          </w:tcPr>
          <w:p w14:paraId="589462B8" w14:textId="77777777" w:rsidR="00E74EE9" w:rsidRDefault="00E74EE9" w:rsidP="007A2BE7">
            <w:pPr>
              <w:spacing w:before="0" w:after="300" w:line="240" w:lineRule="auto"/>
              <w:rPr>
                <w:color w:val="222222"/>
              </w:rPr>
            </w:pPr>
          </w:p>
        </w:tc>
      </w:tr>
      <w:tr w:rsidR="00E74EE9" w14:paraId="018C106F" w14:textId="77777777" w:rsidTr="007A2BE7">
        <w:trPr>
          <w:trHeight w:val="288"/>
          <w:jc w:val="center"/>
        </w:trPr>
        <w:tc>
          <w:tcPr>
            <w:tcW w:w="3320" w:type="dxa"/>
            <w:tcBorders>
              <w:bottom w:val="single" w:sz="8" w:space="0" w:color="FFFFFF"/>
            </w:tcBorders>
            <w:tcMar>
              <w:top w:w="100" w:type="dxa"/>
              <w:left w:w="100" w:type="dxa"/>
              <w:bottom w:w="100" w:type="dxa"/>
              <w:right w:w="100" w:type="dxa"/>
            </w:tcMar>
          </w:tcPr>
          <w:p w14:paraId="2EA265CB" w14:textId="77777777" w:rsidR="00E74EE9" w:rsidRDefault="00E74EE9" w:rsidP="007A2BE7">
            <w:pPr>
              <w:shd w:val="clear" w:color="auto" w:fill="FFFFFF"/>
              <w:spacing w:before="0" w:after="300"/>
              <w:rPr>
                <w:color w:val="222222"/>
                <w:sz w:val="22"/>
                <w:szCs w:val="22"/>
              </w:rPr>
            </w:pPr>
          </w:p>
        </w:tc>
        <w:tc>
          <w:tcPr>
            <w:tcW w:w="5940" w:type="dxa"/>
            <w:shd w:val="clear" w:color="auto" w:fill="auto"/>
            <w:tcMar>
              <w:top w:w="100" w:type="dxa"/>
              <w:left w:w="100" w:type="dxa"/>
              <w:bottom w:w="100" w:type="dxa"/>
              <w:right w:w="100" w:type="dxa"/>
            </w:tcMar>
          </w:tcPr>
          <w:p w14:paraId="2727DFE2" w14:textId="77777777" w:rsidR="00E74EE9" w:rsidRDefault="00E74EE9" w:rsidP="007A2BE7">
            <w:pPr>
              <w:spacing w:before="0" w:after="0" w:line="240" w:lineRule="auto"/>
              <w:rPr>
                <w:color w:val="222222"/>
                <w:sz w:val="22"/>
                <w:szCs w:val="22"/>
              </w:rPr>
            </w:pPr>
            <w:r>
              <w:rPr>
                <w:color w:val="222222"/>
                <w:sz w:val="22"/>
                <w:szCs w:val="22"/>
              </w:rPr>
              <w:t>The content in the resource is written in plain language.</w:t>
            </w:r>
          </w:p>
        </w:tc>
        <w:tc>
          <w:tcPr>
            <w:tcW w:w="450" w:type="dxa"/>
            <w:shd w:val="clear" w:color="auto" w:fill="auto"/>
            <w:tcMar>
              <w:top w:w="100" w:type="dxa"/>
              <w:left w:w="100" w:type="dxa"/>
              <w:bottom w:w="100" w:type="dxa"/>
              <w:right w:w="100" w:type="dxa"/>
            </w:tcMar>
          </w:tcPr>
          <w:p w14:paraId="3FC4B15A" w14:textId="77777777" w:rsidR="00E74EE9" w:rsidRDefault="00E74EE9" w:rsidP="007A2BE7">
            <w:pPr>
              <w:spacing w:before="0" w:after="300" w:line="240" w:lineRule="auto"/>
              <w:rPr>
                <w:color w:val="222222"/>
              </w:rPr>
            </w:pPr>
          </w:p>
        </w:tc>
        <w:tc>
          <w:tcPr>
            <w:tcW w:w="450" w:type="dxa"/>
            <w:shd w:val="clear" w:color="auto" w:fill="auto"/>
            <w:tcMar>
              <w:top w:w="100" w:type="dxa"/>
              <w:left w:w="100" w:type="dxa"/>
              <w:bottom w:w="100" w:type="dxa"/>
              <w:right w:w="100" w:type="dxa"/>
            </w:tcMar>
          </w:tcPr>
          <w:p w14:paraId="77D491C6" w14:textId="77777777" w:rsidR="00E74EE9" w:rsidRDefault="00E74EE9" w:rsidP="007A2BE7">
            <w:pPr>
              <w:spacing w:before="0" w:after="300" w:line="240" w:lineRule="auto"/>
              <w:rPr>
                <w:color w:val="222222"/>
              </w:rPr>
            </w:pPr>
          </w:p>
        </w:tc>
        <w:tc>
          <w:tcPr>
            <w:tcW w:w="450" w:type="dxa"/>
            <w:shd w:val="clear" w:color="auto" w:fill="auto"/>
            <w:tcMar>
              <w:top w:w="100" w:type="dxa"/>
              <w:left w:w="100" w:type="dxa"/>
              <w:bottom w:w="100" w:type="dxa"/>
              <w:right w:w="100" w:type="dxa"/>
            </w:tcMar>
          </w:tcPr>
          <w:p w14:paraId="30E94F18" w14:textId="77777777" w:rsidR="00E74EE9" w:rsidRDefault="00E74EE9" w:rsidP="007A2BE7">
            <w:pPr>
              <w:spacing w:before="0" w:after="300" w:line="240" w:lineRule="auto"/>
              <w:rPr>
                <w:color w:val="222222"/>
              </w:rPr>
            </w:pPr>
          </w:p>
        </w:tc>
      </w:tr>
      <w:tr w:rsidR="00E74EE9" w14:paraId="0C1226AE" w14:textId="77777777" w:rsidTr="007A2BE7">
        <w:trPr>
          <w:trHeight w:val="144"/>
          <w:jc w:val="center"/>
        </w:trPr>
        <w:tc>
          <w:tcPr>
            <w:tcW w:w="3320" w:type="dxa"/>
            <w:tcBorders>
              <w:top w:val="single" w:sz="8" w:space="0" w:color="FFFFFF"/>
              <w:bottom w:val="single" w:sz="8" w:space="0" w:color="FFFFFF"/>
            </w:tcBorders>
            <w:tcMar>
              <w:top w:w="100" w:type="dxa"/>
              <w:left w:w="100" w:type="dxa"/>
              <w:bottom w:w="100" w:type="dxa"/>
              <w:right w:w="100" w:type="dxa"/>
            </w:tcMar>
          </w:tcPr>
          <w:p w14:paraId="755F1517" w14:textId="77777777" w:rsidR="00E74EE9" w:rsidRDefault="00E74EE9" w:rsidP="007A2BE7">
            <w:pPr>
              <w:shd w:val="clear" w:color="auto" w:fill="FFFFFF"/>
              <w:spacing w:before="0" w:after="0" w:line="240" w:lineRule="auto"/>
              <w:rPr>
                <w:color w:val="222222"/>
              </w:rPr>
            </w:pPr>
          </w:p>
        </w:tc>
        <w:tc>
          <w:tcPr>
            <w:tcW w:w="5940" w:type="dxa"/>
            <w:shd w:val="clear" w:color="auto" w:fill="auto"/>
            <w:tcMar>
              <w:top w:w="100" w:type="dxa"/>
              <w:left w:w="100" w:type="dxa"/>
              <w:bottom w:w="100" w:type="dxa"/>
              <w:right w:w="100" w:type="dxa"/>
            </w:tcMar>
          </w:tcPr>
          <w:p w14:paraId="5BB8F7FC" w14:textId="77777777" w:rsidR="00E74EE9" w:rsidRDefault="00E74EE9" w:rsidP="007A2BE7">
            <w:pPr>
              <w:spacing w:before="0" w:after="0" w:line="240" w:lineRule="auto"/>
              <w:rPr>
                <w:color w:val="222222"/>
                <w:sz w:val="22"/>
                <w:szCs w:val="22"/>
              </w:rPr>
            </w:pPr>
            <w:r>
              <w:rPr>
                <w:color w:val="222222"/>
                <w:sz w:val="22"/>
                <w:szCs w:val="22"/>
              </w:rPr>
              <w:t>The content is accurate and/or current.</w:t>
            </w:r>
          </w:p>
        </w:tc>
        <w:tc>
          <w:tcPr>
            <w:tcW w:w="450" w:type="dxa"/>
            <w:shd w:val="clear" w:color="auto" w:fill="auto"/>
            <w:tcMar>
              <w:top w:w="100" w:type="dxa"/>
              <w:left w:w="100" w:type="dxa"/>
              <w:bottom w:w="100" w:type="dxa"/>
              <w:right w:w="100" w:type="dxa"/>
            </w:tcMar>
          </w:tcPr>
          <w:p w14:paraId="620E61AD" w14:textId="77777777" w:rsidR="00E74EE9" w:rsidRDefault="00E74EE9" w:rsidP="007A2BE7">
            <w:pPr>
              <w:spacing w:before="0" w:after="300" w:line="240" w:lineRule="auto"/>
              <w:rPr>
                <w:color w:val="222222"/>
              </w:rPr>
            </w:pPr>
          </w:p>
        </w:tc>
        <w:tc>
          <w:tcPr>
            <w:tcW w:w="450" w:type="dxa"/>
            <w:shd w:val="clear" w:color="auto" w:fill="auto"/>
            <w:tcMar>
              <w:top w:w="100" w:type="dxa"/>
              <w:left w:w="100" w:type="dxa"/>
              <w:bottom w:w="100" w:type="dxa"/>
              <w:right w:w="100" w:type="dxa"/>
            </w:tcMar>
          </w:tcPr>
          <w:p w14:paraId="5CC60F99" w14:textId="77777777" w:rsidR="00E74EE9" w:rsidRDefault="00E74EE9" w:rsidP="007A2BE7">
            <w:pPr>
              <w:spacing w:before="0" w:after="300" w:line="240" w:lineRule="auto"/>
              <w:rPr>
                <w:color w:val="222222"/>
              </w:rPr>
            </w:pPr>
          </w:p>
        </w:tc>
        <w:tc>
          <w:tcPr>
            <w:tcW w:w="450" w:type="dxa"/>
            <w:shd w:val="clear" w:color="auto" w:fill="auto"/>
            <w:tcMar>
              <w:top w:w="100" w:type="dxa"/>
              <w:left w:w="100" w:type="dxa"/>
              <w:bottom w:w="100" w:type="dxa"/>
              <w:right w:w="100" w:type="dxa"/>
            </w:tcMar>
          </w:tcPr>
          <w:p w14:paraId="3551540C" w14:textId="77777777" w:rsidR="00E74EE9" w:rsidRDefault="00E74EE9" w:rsidP="007A2BE7">
            <w:pPr>
              <w:spacing w:before="0" w:after="300" w:line="240" w:lineRule="auto"/>
              <w:rPr>
                <w:color w:val="222222"/>
              </w:rPr>
            </w:pPr>
          </w:p>
        </w:tc>
      </w:tr>
      <w:tr w:rsidR="00E74EE9" w14:paraId="01D8B9DD" w14:textId="77777777" w:rsidTr="007A2BE7">
        <w:trPr>
          <w:trHeight w:val="622"/>
          <w:jc w:val="center"/>
        </w:trPr>
        <w:tc>
          <w:tcPr>
            <w:tcW w:w="3320" w:type="dxa"/>
            <w:tcBorders>
              <w:top w:val="single" w:sz="8" w:space="0" w:color="FFFFFF"/>
              <w:bottom w:val="single" w:sz="8" w:space="0" w:color="FFFFFF"/>
            </w:tcBorders>
            <w:tcMar>
              <w:top w:w="100" w:type="dxa"/>
              <w:left w:w="100" w:type="dxa"/>
              <w:bottom w:w="100" w:type="dxa"/>
              <w:right w:w="100" w:type="dxa"/>
            </w:tcMar>
          </w:tcPr>
          <w:p w14:paraId="2F629E47" w14:textId="77777777" w:rsidR="00E74EE9" w:rsidRDefault="00E74EE9" w:rsidP="007A2BE7">
            <w:pPr>
              <w:shd w:val="clear" w:color="auto" w:fill="FFFFFF"/>
              <w:spacing w:before="0" w:after="0" w:line="240" w:lineRule="auto"/>
              <w:rPr>
                <w:color w:val="222222"/>
              </w:rPr>
            </w:pPr>
          </w:p>
        </w:tc>
        <w:tc>
          <w:tcPr>
            <w:tcW w:w="5940" w:type="dxa"/>
            <w:shd w:val="clear" w:color="auto" w:fill="auto"/>
            <w:tcMar>
              <w:top w:w="100" w:type="dxa"/>
              <w:left w:w="100" w:type="dxa"/>
              <w:bottom w:w="100" w:type="dxa"/>
              <w:right w:w="100" w:type="dxa"/>
            </w:tcMar>
          </w:tcPr>
          <w:p w14:paraId="755EE50D" w14:textId="77777777" w:rsidR="00E74EE9" w:rsidRDefault="00E74EE9" w:rsidP="007A2BE7">
            <w:pPr>
              <w:spacing w:before="0" w:after="0" w:line="240" w:lineRule="auto"/>
              <w:rPr>
                <w:color w:val="222222"/>
                <w:sz w:val="22"/>
                <w:szCs w:val="22"/>
              </w:rPr>
            </w:pPr>
            <w:r>
              <w:rPr>
                <w:color w:val="222222"/>
                <w:sz w:val="22"/>
                <w:szCs w:val="22"/>
              </w:rPr>
              <w:t>The content is based on some expert knowledge or evaluation results (i.e., there are easily accessed references to support the content).</w:t>
            </w:r>
          </w:p>
        </w:tc>
        <w:tc>
          <w:tcPr>
            <w:tcW w:w="450" w:type="dxa"/>
            <w:shd w:val="clear" w:color="auto" w:fill="auto"/>
            <w:tcMar>
              <w:top w:w="100" w:type="dxa"/>
              <w:left w:w="100" w:type="dxa"/>
              <w:bottom w:w="100" w:type="dxa"/>
              <w:right w:w="100" w:type="dxa"/>
            </w:tcMar>
          </w:tcPr>
          <w:p w14:paraId="54862D11" w14:textId="77777777" w:rsidR="00E74EE9" w:rsidRDefault="00E74EE9" w:rsidP="007A2BE7">
            <w:pPr>
              <w:spacing w:before="0" w:after="300" w:line="240" w:lineRule="auto"/>
              <w:rPr>
                <w:color w:val="222222"/>
              </w:rPr>
            </w:pPr>
          </w:p>
        </w:tc>
        <w:tc>
          <w:tcPr>
            <w:tcW w:w="450" w:type="dxa"/>
            <w:shd w:val="clear" w:color="auto" w:fill="auto"/>
            <w:tcMar>
              <w:top w:w="100" w:type="dxa"/>
              <w:left w:w="100" w:type="dxa"/>
              <w:bottom w:w="100" w:type="dxa"/>
              <w:right w:w="100" w:type="dxa"/>
            </w:tcMar>
          </w:tcPr>
          <w:p w14:paraId="3A7BBD11" w14:textId="77777777" w:rsidR="00E74EE9" w:rsidRDefault="00E74EE9" w:rsidP="007A2BE7">
            <w:pPr>
              <w:spacing w:before="0" w:after="300" w:line="240" w:lineRule="auto"/>
              <w:rPr>
                <w:color w:val="222222"/>
              </w:rPr>
            </w:pPr>
          </w:p>
        </w:tc>
        <w:tc>
          <w:tcPr>
            <w:tcW w:w="450" w:type="dxa"/>
            <w:shd w:val="clear" w:color="auto" w:fill="auto"/>
            <w:tcMar>
              <w:top w:w="100" w:type="dxa"/>
              <w:left w:w="100" w:type="dxa"/>
              <w:bottom w:w="100" w:type="dxa"/>
              <w:right w:w="100" w:type="dxa"/>
            </w:tcMar>
          </w:tcPr>
          <w:p w14:paraId="3811117D" w14:textId="77777777" w:rsidR="00E74EE9" w:rsidRDefault="00E74EE9" w:rsidP="007A2BE7">
            <w:pPr>
              <w:spacing w:before="0" w:after="300" w:line="240" w:lineRule="auto"/>
              <w:rPr>
                <w:color w:val="222222"/>
              </w:rPr>
            </w:pPr>
          </w:p>
        </w:tc>
      </w:tr>
      <w:tr w:rsidR="00E74EE9" w14:paraId="7E821D71" w14:textId="77777777" w:rsidTr="007A2BE7">
        <w:trPr>
          <w:trHeight w:val="440"/>
          <w:jc w:val="center"/>
        </w:trPr>
        <w:tc>
          <w:tcPr>
            <w:tcW w:w="3320" w:type="dxa"/>
            <w:tcBorders>
              <w:top w:val="single" w:sz="8" w:space="0" w:color="FFFFFF"/>
              <w:bottom w:val="single" w:sz="8" w:space="0" w:color="FFFFFF"/>
            </w:tcBorders>
            <w:tcMar>
              <w:top w:w="100" w:type="dxa"/>
              <w:left w:w="100" w:type="dxa"/>
              <w:bottom w:w="100" w:type="dxa"/>
              <w:right w:w="100" w:type="dxa"/>
            </w:tcMar>
          </w:tcPr>
          <w:p w14:paraId="725EF167" w14:textId="77777777" w:rsidR="00E74EE9" w:rsidRDefault="00E74EE9" w:rsidP="007A2BE7">
            <w:pPr>
              <w:shd w:val="clear" w:color="auto" w:fill="FFFFFF"/>
              <w:spacing w:before="0" w:after="0" w:line="240" w:lineRule="auto"/>
              <w:rPr>
                <w:color w:val="222222"/>
              </w:rPr>
            </w:pPr>
          </w:p>
        </w:tc>
        <w:tc>
          <w:tcPr>
            <w:tcW w:w="5940" w:type="dxa"/>
            <w:shd w:val="clear" w:color="auto" w:fill="auto"/>
            <w:tcMar>
              <w:top w:w="100" w:type="dxa"/>
              <w:left w:w="100" w:type="dxa"/>
              <w:bottom w:w="100" w:type="dxa"/>
              <w:right w:w="100" w:type="dxa"/>
            </w:tcMar>
          </w:tcPr>
          <w:p w14:paraId="3F5FFD5F" w14:textId="77777777" w:rsidR="00E74EE9" w:rsidRDefault="00E74EE9" w:rsidP="007A2BE7">
            <w:pPr>
              <w:spacing w:before="0" w:after="0" w:line="240" w:lineRule="auto"/>
              <w:rPr>
                <w:color w:val="222222"/>
                <w:sz w:val="22"/>
                <w:szCs w:val="22"/>
              </w:rPr>
            </w:pPr>
            <w:r>
              <w:rPr>
                <w:color w:val="222222"/>
                <w:sz w:val="22"/>
                <w:szCs w:val="22"/>
              </w:rPr>
              <w:t>The content is logically arranged and easy to follow.</w:t>
            </w:r>
          </w:p>
        </w:tc>
        <w:tc>
          <w:tcPr>
            <w:tcW w:w="450" w:type="dxa"/>
            <w:shd w:val="clear" w:color="auto" w:fill="auto"/>
            <w:tcMar>
              <w:top w:w="100" w:type="dxa"/>
              <w:left w:w="100" w:type="dxa"/>
              <w:bottom w:w="100" w:type="dxa"/>
              <w:right w:w="100" w:type="dxa"/>
            </w:tcMar>
          </w:tcPr>
          <w:p w14:paraId="60880724" w14:textId="77777777" w:rsidR="00E74EE9" w:rsidRDefault="00E74EE9" w:rsidP="007A2BE7">
            <w:pPr>
              <w:spacing w:before="0" w:after="300" w:line="240" w:lineRule="auto"/>
              <w:rPr>
                <w:color w:val="222222"/>
              </w:rPr>
            </w:pPr>
          </w:p>
        </w:tc>
        <w:tc>
          <w:tcPr>
            <w:tcW w:w="450" w:type="dxa"/>
            <w:shd w:val="clear" w:color="auto" w:fill="auto"/>
            <w:tcMar>
              <w:top w:w="100" w:type="dxa"/>
              <w:left w:w="100" w:type="dxa"/>
              <w:bottom w:w="100" w:type="dxa"/>
              <w:right w:w="100" w:type="dxa"/>
            </w:tcMar>
          </w:tcPr>
          <w:p w14:paraId="5D86E3EA" w14:textId="77777777" w:rsidR="00E74EE9" w:rsidRDefault="00E74EE9" w:rsidP="007A2BE7">
            <w:pPr>
              <w:spacing w:before="0" w:after="300" w:line="240" w:lineRule="auto"/>
              <w:rPr>
                <w:color w:val="222222"/>
              </w:rPr>
            </w:pPr>
          </w:p>
        </w:tc>
        <w:tc>
          <w:tcPr>
            <w:tcW w:w="450" w:type="dxa"/>
            <w:shd w:val="clear" w:color="auto" w:fill="auto"/>
            <w:tcMar>
              <w:top w:w="100" w:type="dxa"/>
              <w:left w:w="100" w:type="dxa"/>
              <w:bottom w:w="100" w:type="dxa"/>
              <w:right w:w="100" w:type="dxa"/>
            </w:tcMar>
          </w:tcPr>
          <w:p w14:paraId="1AE2812B" w14:textId="77777777" w:rsidR="00E74EE9" w:rsidRDefault="00E74EE9" w:rsidP="007A2BE7">
            <w:pPr>
              <w:spacing w:before="0" w:after="300" w:line="240" w:lineRule="auto"/>
              <w:rPr>
                <w:color w:val="222222"/>
              </w:rPr>
            </w:pPr>
          </w:p>
        </w:tc>
      </w:tr>
      <w:tr w:rsidR="00E74EE9" w14:paraId="2E703C4E" w14:textId="77777777" w:rsidTr="007A2BE7">
        <w:trPr>
          <w:trHeight w:val="440"/>
          <w:jc w:val="center"/>
        </w:trPr>
        <w:tc>
          <w:tcPr>
            <w:tcW w:w="3320" w:type="dxa"/>
            <w:tcBorders>
              <w:top w:val="single" w:sz="8" w:space="0" w:color="FFFFFF"/>
              <w:bottom w:val="single" w:sz="8" w:space="0" w:color="FFFFFF"/>
            </w:tcBorders>
            <w:tcMar>
              <w:top w:w="100" w:type="dxa"/>
              <w:left w:w="100" w:type="dxa"/>
              <w:bottom w:w="100" w:type="dxa"/>
              <w:right w:w="100" w:type="dxa"/>
            </w:tcMar>
          </w:tcPr>
          <w:p w14:paraId="60B07B8C" w14:textId="77777777" w:rsidR="00E74EE9" w:rsidRDefault="00E74EE9" w:rsidP="007A2BE7">
            <w:pPr>
              <w:shd w:val="clear" w:color="auto" w:fill="FFFFFF"/>
              <w:spacing w:before="0" w:after="0" w:line="240" w:lineRule="auto"/>
              <w:rPr>
                <w:color w:val="222222"/>
              </w:rPr>
            </w:pPr>
          </w:p>
        </w:tc>
        <w:tc>
          <w:tcPr>
            <w:tcW w:w="5940" w:type="dxa"/>
            <w:shd w:val="clear" w:color="auto" w:fill="auto"/>
            <w:tcMar>
              <w:top w:w="100" w:type="dxa"/>
              <w:left w:w="100" w:type="dxa"/>
              <w:bottom w:w="100" w:type="dxa"/>
              <w:right w:w="100" w:type="dxa"/>
            </w:tcMar>
          </w:tcPr>
          <w:p w14:paraId="6D80A1AB" w14:textId="77777777" w:rsidR="00E74EE9" w:rsidRDefault="00E74EE9" w:rsidP="007A2BE7">
            <w:pPr>
              <w:spacing w:before="0" w:after="0" w:line="240" w:lineRule="auto"/>
              <w:rPr>
                <w:color w:val="222222"/>
                <w:sz w:val="22"/>
                <w:szCs w:val="22"/>
              </w:rPr>
            </w:pPr>
            <w:r>
              <w:rPr>
                <w:color w:val="222222"/>
                <w:sz w:val="22"/>
                <w:szCs w:val="22"/>
              </w:rPr>
              <w:t>The content conveys the information it purports to cover.</w:t>
            </w:r>
          </w:p>
        </w:tc>
        <w:tc>
          <w:tcPr>
            <w:tcW w:w="450" w:type="dxa"/>
            <w:shd w:val="clear" w:color="auto" w:fill="auto"/>
            <w:tcMar>
              <w:top w:w="100" w:type="dxa"/>
              <w:left w:w="100" w:type="dxa"/>
              <w:bottom w:w="100" w:type="dxa"/>
              <w:right w:w="100" w:type="dxa"/>
            </w:tcMar>
          </w:tcPr>
          <w:p w14:paraId="7AC707F7" w14:textId="77777777" w:rsidR="00E74EE9" w:rsidRDefault="00E74EE9" w:rsidP="007A2BE7">
            <w:pPr>
              <w:spacing w:before="0" w:after="300" w:line="240" w:lineRule="auto"/>
              <w:rPr>
                <w:color w:val="222222"/>
              </w:rPr>
            </w:pPr>
          </w:p>
        </w:tc>
        <w:tc>
          <w:tcPr>
            <w:tcW w:w="450" w:type="dxa"/>
            <w:shd w:val="clear" w:color="auto" w:fill="auto"/>
            <w:tcMar>
              <w:top w:w="100" w:type="dxa"/>
              <w:left w:w="100" w:type="dxa"/>
              <w:bottom w:w="100" w:type="dxa"/>
              <w:right w:w="100" w:type="dxa"/>
            </w:tcMar>
          </w:tcPr>
          <w:p w14:paraId="40898FAF" w14:textId="77777777" w:rsidR="00E74EE9" w:rsidRDefault="00E74EE9" w:rsidP="007A2BE7">
            <w:pPr>
              <w:spacing w:before="0" w:after="300" w:line="240" w:lineRule="auto"/>
              <w:rPr>
                <w:color w:val="222222"/>
              </w:rPr>
            </w:pPr>
          </w:p>
        </w:tc>
        <w:tc>
          <w:tcPr>
            <w:tcW w:w="450" w:type="dxa"/>
            <w:shd w:val="clear" w:color="auto" w:fill="auto"/>
            <w:tcMar>
              <w:top w:w="100" w:type="dxa"/>
              <w:left w:w="100" w:type="dxa"/>
              <w:bottom w:w="100" w:type="dxa"/>
              <w:right w:w="100" w:type="dxa"/>
            </w:tcMar>
          </w:tcPr>
          <w:p w14:paraId="7859F746" w14:textId="77777777" w:rsidR="00E74EE9" w:rsidRDefault="00E74EE9" w:rsidP="007A2BE7">
            <w:pPr>
              <w:spacing w:before="0" w:after="300" w:line="240" w:lineRule="auto"/>
              <w:rPr>
                <w:color w:val="222222"/>
              </w:rPr>
            </w:pPr>
          </w:p>
        </w:tc>
      </w:tr>
      <w:tr w:rsidR="00E74EE9" w14:paraId="75EEF7A2" w14:textId="77777777" w:rsidTr="007A2BE7">
        <w:trPr>
          <w:trHeight w:val="440"/>
          <w:jc w:val="center"/>
        </w:trPr>
        <w:tc>
          <w:tcPr>
            <w:tcW w:w="3320" w:type="dxa"/>
            <w:tcBorders>
              <w:top w:val="single" w:sz="8" w:space="0" w:color="FFFFFF"/>
              <w:right w:val="single" w:sz="8" w:space="0" w:color="FFFFFF"/>
            </w:tcBorders>
            <w:tcMar>
              <w:top w:w="100" w:type="dxa"/>
              <w:left w:w="100" w:type="dxa"/>
              <w:bottom w:w="100" w:type="dxa"/>
              <w:right w:w="100" w:type="dxa"/>
            </w:tcMar>
          </w:tcPr>
          <w:p w14:paraId="22C64A30" w14:textId="77777777" w:rsidR="00E74EE9" w:rsidRDefault="00E74EE9" w:rsidP="007A2BE7">
            <w:pPr>
              <w:shd w:val="clear" w:color="auto" w:fill="FFFFFF"/>
              <w:spacing w:before="0" w:after="200" w:line="240" w:lineRule="auto"/>
              <w:rPr>
                <w:color w:val="222222"/>
              </w:rPr>
            </w:pPr>
            <w:r w:rsidRPr="00800F13">
              <w:rPr>
                <w:color w:val="222222"/>
                <w:sz w:val="22"/>
                <w:szCs w:val="24"/>
              </w:rPr>
              <w:t xml:space="preserve">Comments </w:t>
            </w:r>
          </w:p>
        </w:tc>
        <w:tc>
          <w:tcPr>
            <w:tcW w:w="5940" w:type="dxa"/>
            <w:tcBorders>
              <w:left w:val="single" w:sz="8" w:space="0" w:color="FFFFFF"/>
            </w:tcBorders>
            <w:shd w:val="clear" w:color="auto" w:fill="auto"/>
            <w:tcMar>
              <w:top w:w="100" w:type="dxa"/>
              <w:left w:w="100" w:type="dxa"/>
              <w:bottom w:w="100" w:type="dxa"/>
              <w:right w:w="100" w:type="dxa"/>
            </w:tcMar>
          </w:tcPr>
          <w:p w14:paraId="2C18E2B7" w14:textId="77777777" w:rsidR="00E74EE9" w:rsidRDefault="00E74EE9" w:rsidP="007A2BE7">
            <w:pPr>
              <w:spacing w:before="0" w:after="0" w:line="240" w:lineRule="auto"/>
              <w:rPr>
                <w:color w:val="222222"/>
              </w:rPr>
            </w:pPr>
          </w:p>
        </w:tc>
        <w:tc>
          <w:tcPr>
            <w:tcW w:w="450" w:type="dxa"/>
            <w:tcBorders>
              <w:left w:val="single" w:sz="8" w:space="0" w:color="FFFFFF"/>
            </w:tcBorders>
            <w:shd w:val="clear" w:color="auto" w:fill="auto"/>
            <w:tcMar>
              <w:top w:w="100" w:type="dxa"/>
              <w:left w:w="100" w:type="dxa"/>
              <w:bottom w:w="100" w:type="dxa"/>
              <w:right w:w="100" w:type="dxa"/>
            </w:tcMar>
          </w:tcPr>
          <w:p w14:paraId="51BE40B3" w14:textId="77777777" w:rsidR="00E74EE9" w:rsidRDefault="00E74EE9" w:rsidP="007A2BE7">
            <w:pPr>
              <w:spacing w:before="0" w:after="0" w:line="240" w:lineRule="auto"/>
              <w:rPr>
                <w:color w:val="222222"/>
              </w:rPr>
            </w:pPr>
          </w:p>
        </w:tc>
        <w:tc>
          <w:tcPr>
            <w:tcW w:w="450" w:type="dxa"/>
            <w:tcBorders>
              <w:left w:val="single" w:sz="8" w:space="0" w:color="FFFFFF"/>
            </w:tcBorders>
            <w:shd w:val="clear" w:color="auto" w:fill="auto"/>
            <w:tcMar>
              <w:top w:w="100" w:type="dxa"/>
              <w:left w:w="100" w:type="dxa"/>
              <w:bottom w:w="100" w:type="dxa"/>
              <w:right w:w="100" w:type="dxa"/>
            </w:tcMar>
          </w:tcPr>
          <w:p w14:paraId="0AC4F20A" w14:textId="77777777" w:rsidR="00E74EE9" w:rsidRDefault="00E74EE9" w:rsidP="007A2BE7">
            <w:pPr>
              <w:spacing w:before="0" w:after="0" w:line="240" w:lineRule="auto"/>
              <w:rPr>
                <w:color w:val="222222"/>
              </w:rPr>
            </w:pPr>
          </w:p>
        </w:tc>
        <w:tc>
          <w:tcPr>
            <w:tcW w:w="450" w:type="dxa"/>
            <w:tcBorders>
              <w:left w:val="single" w:sz="8" w:space="0" w:color="FFFFFF"/>
            </w:tcBorders>
            <w:shd w:val="clear" w:color="auto" w:fill="auto"/>
            <w:tcMar>
              <w:top w:w="100" w:type="dxa"/>
              <w:left w:w="100" w:type="dxa"/>
              <w:bottom w:w="100" w:type="dxa"/>
              <w:right w:w="100" w:type="dxa"/>
            </w:tcMar>
          </w:tcPr>
          <w:p w14:paraId="40862966" w14:textId="77777777" w:rsidR="00E74EE9" w:rsidRDefault="00E74EE9" w:rsidP="007A2BE7">
            <w:pPr>
              <w:spacing w:before="0" w:after="0" w:line="240" w:lineRule="auto"/>
              <w:rPr>
                <w:color w:val="222222"/>
              </w:rPr>
            </w:pPr>
          </w:p>
        </w:tc>
      </w:tr>
      <w:tr w:rsidR="00E74EE9" w14:paraId="31E423AA" w14:textId="77777777" w:rsidTr="007A2BE7">
        <w:trPr>
          <w:trHeight w:val="855"/>
          <w:jc w:val="center"/>
        </w:trPr>
        <w:tc>
          <w:tcPr>
            <w:tcW w:w="3320" w:type="dxa"/>
            <w:tcBorders>
              <w:bottom w:val="single" w:sz="8" w:space="0" w:color="FFFFFF"/>
            </w:tcBorders>
            <w:shd w:val="clear" w:color="auto" w:fill="auto"/>
            <w:tcMar>
              <w:top w:w="100" w:type="dxa"/>
              <w:left w:w="100" w:type="dxa"/>
              <w:bottom w:w="100" w:type="dxa"/>
              <w:right w:w="100" w:type="dxa"/>
            </w:tcMar>
          </w:tcPr>
          <w:p w14:paraId="6B9EE9ED" w14:textId="77777777" w:rsidR="00E74EE9" w:rsidRDefault="00E74EE9" w:rsidP="007A2BE7">
            <w:pPr>
              <w:widowControl w:val="0"/>
              <w:spacing w:before="0" w:after="0" w:line="240" w:lineRule="auto"/>
              <w:rPr>
                <w:sz w:val="22"/>
                <w:szCs w:val="22"/>
              </w:rPr>
            </w:pPr>
            <w:r>
              <w:rPr>
                <w:sz w:val="22"/>
                <w:szCs w:val="22"/>
              </w:rPr>
              <w:t xml:space="preserve">Ease of use; accessibility </w:t>
            </w:r>
          </w:p>
        </w:tc>
        <w:tc>
          <w:tcPr>
            <w:tcW w:w="5940" w:type="dxa"/>
            <w:shd w:val="clear" w:color="auto" w:fill="auto"/>
            <w:tcMar>
              <w:top w:w="100" w:type="dxa"/>
              <w:left w:w="100" w:type="dxa"/>
              <w:bottom w:w="100" w:type="dxa"/>
              <w:right w:w="100" w:type="dxa"/>
            </w:tcMar>
          </w:tcPr>
          <w:p w14:paraId="4A810E7A" w14:textId="77777777" w:rsidR="00E74EE9" w:rsidRDefault="00E74EE9" w:rsidP="007A2BE7">
            <w:pPr>
              <w:spacing w:before="0" w:after="0" w:line="240" w:lineRule="auto"/>
              <w:rPr>
                <w:color w:val="222222"/>
                <w:sz w:val="22"/>
                <w:szCs w:val="22"/>
              </w:rPr>
            </w:pPr>
            <w:r>
              <w:rPr>
                <w:color w:val="222222"/>
                <w:sz w:val="22"/>
                <w:szCs w:val="22"/>
              </w:rPr>
              <w:t>The content is not behind a paywall and/or requires, at most, a login.</w:t>
            </w:r>
          </w:p>
        </w:tc>
        <w:tc>
          <w:tcPr>
            <w:tcW w:w="450" w:type="dxa"/>
            <w:shd w:val="clear" w:color="auto" w:fill="auto"/>
            <w:tcMar>
              <w:top w:w="100" w:type="dxa"/>
              <w:left w:w="100" w:type="dxa"/>
              <w:bottom w:w="100" w:type="dxa"/>
              <w:right w:w="100" w:type="dxa"/>
            </w:tcMar>
          </w:tcPr>
          <w:p w14:paraId="54152F04" w14:textId="77777777" w:rsidR="00E74EE9" w:rsidRDefault="00E74EE9" w:rsidP="007A2BE7">
            <w:pPr>
              <w:spacing w:before="0" w:after="300" w:line="240" w:lineRule="auto"/>
              <w:rPr>
                <w:color w:val="222222"/>
              </w:rPr>
            </w:pPr>
          </w:p>
        </w:tc>
        <w:tc>
          <w:tcPr>
            <w:tcW w:w="450" w:type="dxa"/>
            <w:shd w:val="clear" w:color="auto" w:fill="auto"/>
            <w:tcMar>
              <w:top w:w="100" w:type="dxa"/>
              <w:left w:w="100" w:type="dxa"/>
              <w:bottom w:w="100" w:type="dxa"/>
              <w:right w:w="100" w:type="dxa"/>
            </w:tcMar>
          </w:tcPr>
          <w:p w14:paraId="4BB99E58" w14:textId="77777777" w:rsidR="00E74EE9" w:rsidRDefault="00E74EE9" w:rsidP="007A2BE7">
            <w:pPr>
              <w:spacing w:before="0" w:after="300" w:line="240" w:lineRule="auto"/>
              <w:rPr>
                <w:color w:val="222222"/>
              </w:rPr>
            </w:pPr>
          </w:p>
        </w:tc>
        <w:tc>
          <w:tcPr>
            <w:tcW w:w="450" w:type="dxa"/>
            <w:shd w:val="clear" w:color="auto" w:fill="auto"/>
            <w:tcMar>
              <w:top w:w="100" w:type="dxa"/>
              <w:left w:w="100" w:type="dxa"/>
              <w:bottom w:w="100" w:type="dxa"/>
              <w:right w:w="100" w:type="dxa"/>
            </w:tcMar>
          </w:tcPr>
          <w:p w14:paraId="2AFC7368" w14:textId="77777777" w:rsidR="00E74EE9" w:rsidRDefault="00E74EE9" w:rsidP="007A2BE7">
            <w:pPr>
              <w:spacing w:before="0" w:after="300" w:line="240" w:lineRule="auto"/>
              <w:rPr>
                <w:color w:val="222222"/>
              </w:rPr>
            </w:pPr>
          </w:p>
        </w:tc>
      </w:tr>
      <w:tr w:rsidR="00E74EE9" w14:paraId="6896A6B1" w14:textId="77777777" w:rsidTr="007A2BE7">
        <w:trPr>
          <w:trHeight w:val="440"/>
          <w:jc w:val="center"/>
        </w:trPr>
        <w:tc>
          <w:tcPr>
            <w:tcW w:w="3320" w:type="dxa"/>
            <w:tcBorders>
              <w:top w:val="single" w:sz="8" w:space="0" w:color="FFFFFF"/>
              <w:bottom w:val="single" w:sz="8" w:space="0" w:color="FFFFFF"/>
            </w:tcBorders>
            <w:shd w:val="clear" w:color="auto" w:fill="auto"/>
            <w:tcMar>
              <w:top w:w="100" w:type="dxa"/>
              <w:left w:w="100" w:type="dxa"/>
              <w:bottom w:w="100" w:type="dxa"/>
              <w:right w:w="100" w:type="dxa"/>
            </w:tcMar>
          </w:tcPr>
          <w:p w14:paraId="18390428" w14:textId="77777777" w:rsidR="00E74EE9" w:rsidRDefault="00E74EE9" w:rsidP="007A2BE7">
            <w:pPr>
              <w:shd w:val="clear" w:color="auto" w:fill="FFFFFF"/>
              <w:spacing w:before="0" w:after="0" w:line="240" w:lineRule="auto"/>
              <w:rPr>
                <w:color w:val="222222"/>
              </w:rPr>
            </w:pPr>
          </w:p>
        </w:tc>
        <w:tc>
          <w:tcPr>
            <w:tcW w:w="5940" w:type="dxa"/>
            <w:shd w:val="clear" w:color="auto" w:fill="auto"/>
            <w:tcMar>
              <w:top w:w="100" w:type="dxa"/>
              <w:left w:w="100" w:type="dxa"/>
              <w:bottom w:w="100" w:type="dxa"/>
              <w:right w:w="100" w:type="dxa"/>
            </w:tcMar>
          </w:tcPr>
          <w:p w14:paraId="5E612C60" w14:textId="77777777" w:rsidR="00E74EE9" w:rsidRDefault="00E74EE9" w:rsidP="007A2BE7">
            <w:pPr>
              <w:spacing w:before="0" w:after="0" w:line="240" w:lineRule="auto"/>
              <w:rPr>
                <w:color w:val="222222"/>
                <w:sz w:val="22"/>
                <w:szCs w:val="22"/>
              </w:rPr>
            </w:pPr>
            <w:r>
              <w:rPr>
                <w:color w:val="222222"/>
                <w:sz w:val="22"/>
                <w:szCs w:val="22"/>
              </w:rPr>
              <w:t>The content presents information in a format that supports usability (e.g., layout or navigation are easy to follow) and accessibility (e.g., may include alt text, closed captioning).</w:t>
            </w:r>
          </w:p>
        </w:tc>
        <w:tc>
          <w:tcPr>
            <w:tcW w:w="450" w:type="dxa"/>
            <w:shd w:val="clear" w:color="auto" w:fill="auto"/>
            <w:tcMar>
              <w:top w:w="100" w:type="dxa"/>
              <w:left w:w="100" w:type="dxa"/>
              <w:bottom w:w="100" w:type="dxa"/>
              <w:right w:w="100" w:type="dxa"/>
            </w:tcMar>
          </w:tcPr>
          <w:p w14:paraId="50F04168" w14:textId="77777777" w:rsidR="00E74EE9" w:rsidRDefault="00E74EE9" w:rsidP="007A2BE7">
            <w:pPr>
              <w:spacing w:before="0" w:after="300" w:line="240" w:lineRule="auto"/>
              <w:rPr>
                <w:color w:val="222222"/>
              </w:rPr>
            </w:pPr>
          </w:p>
        </w:tc>
        <w:tc>
          <w:tcPr>
            <w:tcW w:w="450" w:type="dxa"/>
            <w:shd w:val="clear" w:color="auto" w:fill="auto"/>
            <w:tcMar>
              <w:top w:w="100" w:type="dxa"/>
              <w:left w:w="100" w:type="dxa"/>
              <w:bottom w:w="100" w:type="dxa"/>
              <w:right w:w="100" w:type="dxa"/>
            </w:tcMar>
          </w:tcPr>
          <w:p w14:paraId="2C0A0727" w14:textId="77777777" w:rsidR="00E74EE9" w:rsidRDefault="00E74EE9" w:rsidP="007A2BE7">
            <w:pPr>
              <w:spacing w:before="0" w:after="300" w:line="240" w:lineRule="auto"/>
              <w:rPr>
                <w:color w:val="222222"/>
              </w:rPr>
            </w:pPr>
          </w:p>
        </w:tc>
        <w:tc>
          <w:tcPr>
            <w:tcW w:w="450" w:type="dxa"/>
            <w:shd w:val="clear" w:color="auto" w:fill="auto"/>
            <w:tcMar>
              <w:top w:w="100" w:type="dxa"/>
              <w:left w:w="100" w:type="dxa"/>
              <w:bottom w:w="100" w:type="dxa"/>
              <w:right w:w="100" w:type="dxa"/>
            </w:tcMar>
          </w:tcPr>
          <w:p w14:paraId="17C12AE1" w14:textId="77777777" w:rsidR="00E74EE9" w:rsidRDefault="00E74EE9" w:rsidP="007A2BE7">
            <w:pPr>
              <w:spacing w:before="0" w:after="300" w:line="240" w:lineRule="auto"/>
              <w:rPr>
                <w:color w:val="222222"/>
              </w:rPr>
            </w:pPr>
          </w:p>
        </w:tc>
      </w:tr>
      <w:tr w:rsidR="00E74EE9" w14:paraId="4CCC552E" w14:textId="77777777" w:rsidTr="007A2BE7">
        <w:trPr>
          <w:trHeight w:val="440"/>
          <w:jc w:val="center"/>
        </w:trPr>
        <w:tc>
          <w:tcPr>
            <w:tcW w:w="3320" w:type="dxa"/>
            <w:tcBorders>
              <w:top w:val="single" w:sz="8" w:space="0" w:color="FFFFFF"/>
              <w:right w:val="single" w:sz="8" w:space="0" w:color="FFFFFF"/>
            </w:tcBorders>
            <w:shd w:val="clear" w:color="auto" w:fill="auto"/>
            <w:tcMar>
              <w:top w:w="100" w:type="dxa"/>
              <w:left w:w="100" w:type="dxa"/>
              <w:bottom w:w="100" w:type="dxa"/>
              <w:right w:w="100" w:type="dxa"/>
            </w:tcMar>
          </w:tcPr>
          <w:p w14:paraId="7685D3E7" w14:textId="77777777" w:rsidR="00E74EE9" w:rsidRDefault="00E74EE9" w:rsidP="007A2BE7">
            <w:pPr>
              <w:spacing w:before="0" w:after="200" w:line="240" w:lineRule="auto"/>
              <w:rPr>
                <w:color w:val="222222"/>
              </w:rPr>
            </w:pPr>
            <w:r>
              <w:rPr>
                <w:color w:val="222222"/>
                <w:sz w:val="22"/>
                <w:szCs w:val="22"/>
              </w:rPr>
              <w:t xml:space="preserve">Comments </w:t>
            </w:r>
          </w:p>
        </w:tc>
        <w:tc>
          <w:tcPr>
            <w:tcW w:w="5940" w:type="dxa"/>
            <w:tcBorders>
              <w:left w:val="single" w:sz="8" w:space="0" w:color="FFFFFF"/>
            </w:tcBorders>
            <w:shd w:val="clear" w:color="auto" w:fill="auto"/>
            <w:tcMar>
              <w:top w:w="100" w:type="dxa"/>
              <w:left w:w="100" w:type="dxa"/>
              <w:bottom w:w="100" w:type="dxa"/>
              <w:right w:w="100" w:type="dxa"/>
            </w:tcMar>
          </w:tcPr>
          <w:p w14:paraId="071F2B93" w14:textId="77777777" w:rsidR="00E74EE9" w:rsidRDefault="00E74EE9" w:rsidP="007A2BE7">
            <w:pPr>
              <w:spacing w:before="0" w:after="0" w:line="240" w:lineRule="auto"/>
              <w:rPr>
                <w:color w:val="222222"/>
              </w:rPr>
            </w:pPr>
          </w:p>
        </w:tc>
        <w:tc>
          <w:tcPr>
            <w:tcW w:w="450" w:type="dxa"/>
            <w:tcBorders>
              <w:left w:val="single" w:sz="8" w:space="0" w:color="FFFFFF"/>
            </w:tcBorders>
            <w:shd w:val="clear" w:color="auto" w:fill="auto"/>
            <w:tcMar>
              <w:top w:w="100" w:type="dxa"/>
              <w:left w:w="100" w:type="dxa"/>
              <w:bottom w:w="100" w:type="dxa"/>
              <w:right w:w="100" w:type="dxa"/>
            </w:tcMar>
          </w:tcPr>
          <w:p w14:paraId="51D75408" w14:textId="77777777" w:rsidR="00E74EE9" w:rsidRDefault="00E74EE9" w:rsidP="007A2BE7">
            <w:pPr>
              <w:spacing w:before="0" w:after="0" w:line="240" w:lineRule="auto"/>
              <w:rPr>
                <w:color w:val="222222"/>
              </w:rPr>
            </w:pPr>
          </w:p>
        </w:tc>
        <w:tc>
          <w:tcPr>
            <w:tcW w:w="450" w:type="dxa"/>
            <w:tcBorders>
              <w:left w:val="single" w:sz="8" w:space="0" w:color="FFFFFF"/>
            </w:tcBorders>
            <w:shd w:val="clear" w:color="auto" w:fill="auto"/>
            <w:tcMar>
              <w:top w:w="100" w:type="dxa"/>
              <w:left w:w="100" w:type="dxa"/>
              <w:bottom w:w="100" w:type="dxa"/>
              <w:right w:w="100" w:type="dxa"/>
            </w:tcMar>
          </w:tcPr>
          <w:p w14:paraId="4CBFA87F" w14:textId="77777777" w:rsidR="00E74EE9" w:rsidRDefault="00E74EE9" w:rsidP="007A2BE7">
            <w:pPr>
              <w:spacing w:before="0" w:after="0" w:line="240" w:lineRule="auto"/>
              <w:rPr>
                <w:color w:val="222222"/>
              </w:rPr>
            </w:pPr>
          </w:p>
        </w:tc>
        <w:tc>
          <w:tcPr>
            <w:tcW w:w="450" w:type="dxa"/>
            <w:tcBorders>
              <w:left w:val="single" w:sz="8" w:space="0" w:color="FFFFFF"/>
            </w:tcBorders>
            <w:shd w:val="clear" w:color="auto" w:fill="auto"/>
            <w:tcMar>
              <w:top w:w="100" w:type="dxa"/>
              <w:left w:w="100" w:type="dxa"/>
              <w:bottom w:w="100" w:type="dxa"/>
              <w:right w:w="100" w:type="dxa"/>
            </w:tcMar>
          </w:tcPr>
          <w:p w14:paraId="6FAFF80F" w14:textId="77777777" w:rsidR="00E74EE9" w:rsidRDefault="00E74EE9" w:rsidP="007A2BE7">
            <w:pPr>
              <w:spacing w:before="0" w:after="0" w:line="240" w:lineRule="auto"/>
              <w:rPr>
                <w:color w:val="222222"/>
              </w:rPr>
            </w:pPr>
          </w:p>
        </w:tc>
      </w:tr>
      <w:tr w:rsidR="00E74EE9" w14:paraId="1E86ECD9" w14:textId="77777777" w:rsidTr="007A2BE7">
        <w:trPr>
          <w:trHeight w:val="440"/>
          <w:jc w:val="center"/>
        </w:trPr>
        <w:tc>
          <w:tcPr>
            <w:tcW w:w="3320" w:type="dxa"/>
            <w:tcBorders>
              <w:bottom w:val="single" w:sz="8" w:space="0" w:color="FFFFFF"/>
            </w:tcBorders>
            <w:shd w:val="clear" w:color="auto" w:fill="auto"/>
            <w:tcMar>
              <w:top w:w="100" w:type="dxa"/>
              <w:left w:w="100" w:type="dxa"/>
              <w:bottom w:w="100" w:type="dxa"/>
              <w:right w:w="100" w:type="dxa"/>
            </w:tcMar>
          </w:tcPr>
          <w:p w14:paraId="55EC979B" w14:textId="77777777" w:rsidR="00E74EE9" w:rsidRDefault="00E74EE9" w:rsidP="007A2BE7">
            <w:pPr>
              <w:widowControl w:val="0"/>
              <w:spacing w:before="0" w:after="0" w:line="240" w:lineRule="auto"/>
              <w:rPr>
                <w:sz w:val="22"/>
                <w:szCs w:val="22"/>
              </w:rPr>
            </w:pPr>
            <w:r>
              <w:rPr>
                <w:sz w:val="22"/>
                <w:szCs w:val="22"/>
              </w:rPr>
              <w:t>Provenance</w:t>
            </w:r>
          </w:p>
          <w:p w14:paraId="7081039A" w14:textId="77777777" w:rsidR="00E74EE9" w:rsidRDefault="00E74EE9" w:rsidP="007A2BE7">
            <w:pPr>
              <w:spacing w:before="0" w:after="200" w:line="240" w:lineRule="auto"/>
              <w:rPr>
                <w:sz w:val="22"/>
                <w:szCs w:val="22"/>
              </w:rPr>
            </w:pPr>
          </w:p>
        </w:tc>
        <w:tc>
          <w:tcPr>
            <w:tcW w:w="5940" w:type="dxa"/>
            <w:shd w:val="clear" w:color="auto" w:fill="auto"/>
            <w:tcMar>
              <w:top w:w="100" w:type="dxa"/>
              <w:left w:w="100" w:type="dxa"/>
              <w:bottom w:w="100" w:type="dxa"/>
              <w:right w:w="100" w:type="dxa"/>
            </w:tcMar>
          </w:tcPr>
          <w:p w14:paraId="2074132C" w14:textId="77777777" w:rsidR="00E74EE9" w:rsidRDefault="00E74EE9" w:rsidP="007A2BE7">
            <w:pPr>
              <w:widowControl w:val="0"/>
              <w:spacing w:before="0" w:after="0" w:line="240" w:lineRule="auto"/>
              <w:rPr>
                <w:sz w:val="22"/>
                <w:szCs w:val="22"/>
              </w:rPr>
            </w:pPr>
            <w:r>
              <w:rPr>
                <w:sz w:val="22"/>
                <w:szCs w:val="22"/>
                <w:highlight w:val="white"/>
              </w:rPr>
              <w:t xml:space="preserve">The author or authoring organization is known and has made previous contributions to the field. </w:t>
            </w:r>
          </w:p>
        </w:tc>
        <w:tc>
          <w:tcPr>
            <w:tcW w:w="450" w:type="dxa"/>
            <w:shd w:val="clear" w:color="auto" w:fill="auto"/>
            <w:tcMar>
              <w:top w:w="100" w:type="dxa"/>
              <w:left w:w="100" w:type="dxa"/>
              <w:bottom w:w="100" w:type="dxa"/>
              <w:right w:w="100" w:type="dxa"/>
            </w:tcMar>
          </w:tcPr>
          <w:p w14:paraId="20104BF0" w14:textId="77777777" w:rsidR="00E74EE9" w:rsidRDefault="00E74EE9" w:rsidP="007A2BE7">
            <w:pPr>
              <w:widowControl w:val="0"/>
              <w:spacing w:before="0" w:after="0" w:line="240" w:lineRule="auto"/>
              <w:rPr>
                <w:highlight w:val="white"/>
              </w:rPr>
            </w:pPr>
          </w:p>
        </w:tc>
        <w:tc>
          <w:tcPr>
            <w:tcW w:w="450" w:type="dxa"/>
            <w:shd w:val="clear" w:color="auto" w:fill="auto"/>
            <w:tcMar>
              <w:top w:w="100" w:type="dxa"/>
              <w:left w:w="100" w:type="dxa"/>
              <w:bottom w:w="100" w:type="dxa"/>
              <w:right w:w="100" w:type="dxa"/>
            </w:tcMar>
          </w:tcPr>
          <w:p w14:paraId="2C3DFE92" w14:textId="77777777" w:rsidR="00E74EE9" w:rsidRDefault="00E74EE9" w:rsidP="007A2BE7">
            <w:pPr>
              <w:widowControl w:val="0"/>
              <w:spacing w:before="0" w:after="0" w:line="240" w:lineRule="auto"/>
              <w:rPr>
                <w:highlight w:val="white"/>
              </w:rPr>
            </w:pPr>
          </w:p>
        </w:tc>
        <w:tc>
          <w:tcPr>
            <w:tcW w:w="450" w:type="dxa"/>
            <w:shd w:val="clear" w:color="auto" w:fill="auto"/>
            <w:tcMar>
              <w:top w:w="100" w:type="dxa"/>
              <w:left w:w="100" w:type="dxa"/>
              <w:bottom w:w="100" w:type="dxa"/>
              <w:right w:w="100" w:type="dxa"/>
            </w:tcMar>
          </w:tcPr>
          <w:p w14:paraId="615BEC59" w14:textId="77777777" w:rsidR="00E74EE9" w:rsidRDefault="00E74EE9" w:rsidP="007A2BE7">
            <w:pPr>
              <w:widowControl w:val="0"/>
              <w:spacing w:before="0" w:after="0" w:line="240" w:lineRule="auto"/>
              <w:rPr>
                <w:highlight w:val="white"/>
              </w:rPr>
            </w:pPr>
          </w:p>
        </w:tc>
      </w:tr>
      <w:tr w:rsidR="00E74EE9" w14:paraId="5D7A99EE" w14:textId="77777777" w:rsidTr="007A2BE7">
        <w:trPr>
          <w:trHeight w:val="440"/>
          <w:jc w:val="center"/>
        </w:trPr>
        <w:tc>
          <w:tcPr>
            <w:tcW w:w="3320" w:type="dxa"/>
            <w:tcBorders>
              <w:top w:val="single" w:sz="8" w:space="0" w:color="FFFFFF"/>
              <w:right w:val="single" w:sz="8" w:space="0" w:color="FFFFFF"/>
            </w:tcBorders>
            <w:shd w:val="clear" w:color="auto" w:fill="auto"/>
            <w:tcMar>
              <w:top w:w="100" w:type="dxa"/>
              <w:left w:w="100" w:type="dxa"/>
              <w:bottom w:w="100" w:type="dxa"/>
              <w:right w:w="100" w:type="dxa"/>
            </w:tcMar>
          </w:tcPr>
          <w:p w14:paraId="3939047E" w14:textId="77777777" w:rsidR="00E74EE9" w:rsidRDefault="00E74EE9" w:rsidP="007A2BE7">
            <w:pPr>
              <w:spacing w:before="0" w:after="200" w:line="240" w:lineRule="auto"/>
            </w:pPr>
            <w:r>
              <w:rPr>
                <w:color w:val="222222"/>
                <w:sz w:val="22"/>
                <w:szCs w:val="22"/>
              </w:rPr>
              <w:t xml:space="preserve">Comments </w:t>
            </w:r>
          </w:p>
        </w:tc>
        <w:tc>
          <w:tcPr>
            <w:tcW w:w="5940" w:type="dxa"/>
            <w:tcBorders>
              <w:left w:val="single" w:sz="8" w:space="0" w:color="FFFFFF"/>
            </w:tcBorders>
            <w:shd w:val="clear" w:color="auto" w:fill="auto"/>
            <w:tcMar>
              <w:top w:w="100" w:type="dxa"/>
              <w:left w:w="100" w:type="dxa"/>
              <w:bottom w:w="100" w:type="dxa"/>
              <w:right w:w="100" w:type="dxa"/>
            </w:tcMar>
          </w:tcPr>
          <w:p w14:paraId="5B6E306F" w14:textId="77777777" w:rsidR="00E74EE9" w:rsidRDefault="00E74EE9" w:rsidP="007A2BE7">
            <w:pPr>
              <w:spacing w:before="0" w:after="0" w:line="240" w:lineRule="auto"/>
              <w:rPr>
                <w:color w:val="222222"/>
              </w:rPr>
            </w:pPr>
          </w:p>
        </w:tc>
        <w:tc>
          <w:tcPr>
            <w:tcW w:w="450" w:type="dxa"/>
            <w:tcBorders>
              <w:left w:val="single" w:sz="8" w:space="0" w:color="FFFFFF"/>
            </w:tcBorders>
            <w:shd w:val="clear" w:color="auto" w:fill="auto"/>
            <w:tcMar>
              <w:top w:w="100" w:type="dxa"/>
              <w:left w:w="100" w:type="dxa"/>
              <w:bottom w:w="100" w:type="dxa"/>
              <w:right w:w="100" w:type="dxa"/>
            </w:tcMar>
          </w:tcPr>
          <w:p w14:paraId="2D450A49" w14:textId="77777777" w:rsidR="00E74EE9" w:rsidRDefault="00E74EE9" w:rsidP="007A2BE7">
            <w:pPr>
              <w:spacing w:before="0" w:after="0" w:line="240" w:lineRule="auto"/>
              <w:rPr>
                <w:color w:val="222222"/>
              </w:rPr>
            </w:pPr>
          </w:p>
        </w:tc>
        <w:tc>
          <w:tcPr>
            <w:tcW w:w="450" w:type="dxa"/>
            <w:tcBorders>
              <w:left w:val="single" w:sz="8" w:space="0" w:color="FFFFFF"/>
            </w:tcBorders>
            <w:shd w:val="clear" w:color="auto" w:fill="auto"/>
            <w:tcMar>
              <w:top w:w="100" w:type="dxa"/>
              <w:left w:w="100" w:type="dxa"/>
              <w:bottom w:w="100" w:type="dxa"/>
              <w:right w:w="100" w:type="dxa"/>
            </w:tcMar>
          </w:tcPr>
          <w:p w14:paraId="4CA864F1" w14:textId="77777777" w:rsidR="00E74EE9" w:rsidRDefault="00E74EE9" w:rsidP="007A2BE7">
            <w:pPr>
              <w:spacing w:before="0" w:after="0" w:line="240" w:lineRule="auto"/>
              <w:rPr>
                <w:color w:val="222222"/>
              </w:rPr>
            </w:pPr>
          </w:p>
        </w:tc>
        <w:tc>
          <w:tcPr>
            <w:tcW w:w="450" w:type="dxa"/>
            <w:tcBorders>
              <w:left w:val="single" w:sz="8" w:space="0" w:color="FFFFFF"/>
            </w:tcBorders>
            <w:shd w:val="clear" w:color="auto" w:fill="auto"/>
            <w:tcMar>
              <w:top w:w="100" w:type="dxa"/>
              <w:left w:w="100" w:type="dxa"/>
              <w:bottom w:w="100" w:type="dxa"/>
              <w:right w:w="100" w:type="dxa"/>
            </w:tcMar>
          </w:tcPr>
          <w:p w14:paraId="733543E5" w14:textId="77777777" w:rsidR="00E74EE9" w:rsidRDefault="00E74EE9" w:rsidP="007A2BE7">
            <w:pPr>
              <w:spacing w:before="0" w:after="0" w:line="240" w:lineRule="auto"/>
              <w:rPr>
                <w:color w:val="222222"/>
              </w:rPr>
            </w:pPr>
          </w:p>
        </w:tc>
      </w:tr>
    </w:tbl>
    <w:p w14:paraId="43703553" w14:textId="77777777" w:rsidR="00E74EE9" w:rsidRPr="00B15D76" w:rsidRDefault="00E74EE9" w:rsidP="00E74EE9">
      <w:pPr>
        <w:pStyle w:val="Heading2"/>
        <w:spacing w:after="200"/>
        <w:rPr>
          <w:rFonts w:asciiTheme="minorHAnsi" w:hAnsiTheme="minorHAnsi" w:cstheme="minorHAnsi"/>
          <w:b/>
        </w:rPr>
      </w:pPr>
      <w:bookmarkStart w:id="1" w:name="_heading=h.1144al5lrcjy" w:colFirst="0" w:colLast="0"/>
      <w:bookmarkStart w:id="2" w:name="_heading=h.tad147k6h6r3" w:colFirst="0" w:colLast="0"/>
      <w:bookmarkEnd w:id="1"/>
      <w:bookmarkEnd w:id="2"/>
      <w:r w:rsidRPr="00B15D76">
        <w:rPr>
          <w:rFonts w:asciiTheme="minorHAnsi" w:hAnsiTheme="minorHAnsi" w:cstheme="minorHAnsi"/>
          <w:b/>
        </w:rPr>
        <w:lastRenderedPageBreak/>
        <w:t>References</w:t>
      </w:r>
    </w:p>
    <w:p w14:paraId="42BA8047" w14:textId="77777777" w:rsidR="00E74EE9" w:rsidRDefault="00E74EE9" w:rsidP="00E74EE9">
      <w:pPr>
        <w:widowControl w:val="0"/>
        <w:spacing w:before="0" w:after="0" w:line="240" w:lineRule="auto"/>
        <w:rPr>
          <w:sz w:val="22"/>
          <w:szCs w:val="22"/>
        </w:rPr>
      </w:pPr>
      <w:r>
        <w:rPr>
          <w:color w:val="333333"/>
          <w:sz w:val="22"/>
          <w:szCs w:val="22"/>
          <w:shd w:val="clear" w:color="auto" w:fill="FCFCFC"/>
        </w:rPr>
        <w:t xml:space="preserve">Achieve. (2011). </w:t>
      </w:r>
      <w:r>
        <w:rPr>
          <w:i/>
          <w:color w:val="333333"/>
          <w:sz w:val="22"/>
          <w:szCs w:val="22"/>
          <w:shd w:val="clear" w:color="auto" w:fill="FCFCFC"/>
        </w:rPr>
        <w:t>Rubrics for evaluating Open Education Resource (OER) objects</w:t>
      </w:r>
      <w:r>
        <w:rPr>
          <w:color w:val="333333"/>
          <w:sz w:val="22"/>
          <w:szCs w:val="22"/>
          <w:shd w:val="clear" w:color="auto" w:fill="FCFCFC"/>
        </w:rPr>
        <w:t xml:space="preserve">. Washington, DC. </w:t>
      </w:r>
      <w:hyperlink r:id="rId6">
        <w:r>
          <w:rPr>
            <w:color w:val="004B83"/>
            <w:sz w:val="22"/>
            <w:szCs w:val="22"/>
            <w:u w:val="single"/>
            <w:shd w:val="clear" w:color="auto" w:fill="FCFCFC"/>
          </w:rPr>
          <w:t>http://www.achieve.org/publications/achieve-oer-rubrics</w:t>
        </w:r>
      </w:hyperlink>
    </w:p>
    <w:p w14:paraId="07D7F671" w14:textId="77777777" w:rsidR="00E74EE9" w:rsidRDefault="00E74EE9" w:rsidP="00E74EE9">
      <w:pPr>
        <w:widowControl w:val="0"/>
        <w:spacing w:before="0" w:after="0" w:line="240" w:lineRule="auto"/>
        <w:rPr>
          <w:i/>
          <w:sz w:val="22"/>
          <w:szCs w:val="22"/>
        </w:rPr>
      </w:pPr>
    </w:p>
    <w:p w14:paraId="03160DF1" w14:textId="77777777" w:rsidR="00E74EE9" w:rsidRDefault="00E74EE9" w:rsidP="00E74EE9">
      <w:pPr>
        <w:widowControl w:val="0"/>
        <w:spacing w:before="0" w:after="0" w:line="240" w:lineRule="auto"/>
        <w:rPr>
          <w:color w:val="222222"/>
          <w:sz w:val="22"/>
          <w:szCs w:val="22"/>
          <w:highlight w:val="white"/>
        </w:rPr>
      </w:pPr>
      <w:r>
        <w:rPr>
          <w:color w:val="222222"/>
          <w:sz w:val="22"/>
          <w:szCs w:val="22"/>
          <w:highlight w:val="white"/>
        </w:rPr>
        <w:t xml:space="preserve">Custard, M., &amp; Sumner, T. (2005). Using machine learning to support quality judgments. </w:t>
      </w:r>
      <w:r>
        <w:rPr>
          <w:i/>
          <w:color w:val="222222"/>
          <w:sz w:val="22"/>
          <w:szCs w:val="22"/>
          <w:highlight w:val="white"/>
        </w:rPr>
        <w:t>D-Lib Magazine</w:t>
      </w:r>
      <w:r>
        <w:rPr>
          <w:color w:val="222222"/>
          <w:sz w:val="22"/>
          <w:szCs w:val="22"/>
          <w:highlight w:val="white"/>
        </w:rPr>
        <w:t xml:space="preserve">, </w:t>
      </w:r>
      <w:r>
        <w:rPr>
          <w:i/>
          <w:color w:val="222222"/>
          <w:sz w:val="22"/>
          <w:szCs w:val="22"/>
          <w:highlight w:val="white"/>
        </w:rPr>
        <w:t>11</w:t>
      </w:r>
      <w:r>
        <w:rPr>
          <w:color w:val="222222"/>
          <w:sz w:val="22"/>
          <w:szCs w:val="22"/>
          <w:highlight w:val="white"/>
        </w:rPr>
        <w:t xml:space="preserve">(10), pp 1082-9873. </w:t>
      </w:r>
      <w:hyperlink r:id="rId7">
        <w:r>
          <w:rPr>
            <w:color w:val="1155CC"/>
            <w:sz w:val="22"/>
            <w:szCs w:val="22"/>
            <w:highlight w:val="white"/>
            <w:u w:val="single"/>
          </w:rPr>
          <w:t>https://www.dlib.org/dlib/october05/custard/10custard.html</w:t>
        </w:r>
      </w:hyperlink>
    </w:p>
    <w:p w14:paraId="00219592" w14:textId="77777777" w:rsidR="00E74EE9" w:rsidRDefault="00E74EE9" w:rsidP="00E74EE9">
      <w:pPr>
        <w:widowControl w:val="0"/>
        <w:spacing w:before="0" w:after="0" w:line="240" w:lineRule="auto"/>
        <w:rPr>
          <w:i/>
          <w:sz w:val="22"/>
          <w:szCs w:val="22"/>
        </w:rPr>
      </w:pPr>
    </w:p>
    <w:p w14:paraId="2373AC4E" w14:textId="77777777" w:rsidR="00E74EE9" w:rsidRDefault="00E74EE9" w:rsidP="00E74EE9">
      <w:pPr>
        <w:widowControl w:val="0"/>
        <w:spacing w:before="0" w:after="0" w:line="240" w:lineRule="auto"/>
        <w:rPr>
          <w:i/>
          <w:sz w:val="22"/>
          <w:szCs w:val="22"/>
        </w:rPr>
      </w:pPr>
      <w:proofErr w:type="spellStart"/>
      <w:r>
        <w:rPr>
          <w:color w:val="222222"/>
          <w:sz w:val="22"/>
          <w:szCs w:val="22"/>
          <w:highlight w:val="white"/>
        </w:rPr>
        <w:t>Haughey</w:t>
      </w:r>
      <w:proofErr w:type="spellEnd"/>
      <w:r>
        <w:rPr>
          <w:color w:val="222222"/>
          <w:sz w:val="22"/>
          <w:szCs w:val="22"/>
          <w:highlight w:val="white"/>
        </w:rPr>
        <w:t xml:space="preserve">, M., &amp; </w:t>
      </w:r>
      <w:proofErr w:type="spellStart"/>
      <w:r>
        <w:rPr>
          <w:color w:val="222222"/>
          <w:sz w:val="22"/>
          <w:szCs w:val="22"/>
          <w:highlight w:val="white"/>
        </w:rPr>
        <w:t>Muirhead</w:t>
      </w:r>
      <w:proofErr w:type="spellEnd"/>
      <w:r>
        <w:rPr>
          <w:color w:val="222222"/>
          <w:sz w:val="22"/>
          <w:szCs w:val="22"/>
          <w:highlight w:val="white"/>
        </w:rPr>
        <w:t xml:space="preserve">, B. (2005). Evaluating learning objects for schools. </w:t>
      </w:r>
      <w:r>
        <w:rPr>
          <w:i/>
          <w:color w:val="222222"/>
          <w:sz w:val="22"/>
          <w:szCs w:val="22"/>
          <w:highlight w:val="white"/>
        </w:rPr>
        <w:t>E-Journal of Instructional Science and Technology</w:t>
      </w:r>
      <w:r>
        <w:rPr>
          <w:color w:val="222222"/>
          <w:sz w:val="22"/>
          <w:szCs w:val="22"/>
          <w:highlight w:val="white"/>
        </w:rPr>
        <w:t xml:space="preserve">, </w:t>
      </w:r>
      <w:r>
        <w:rPr>
          <w:i/>
          <w:color w:val="222222"/>
          <w:sz w:val="22"/>
          <w:szCs w:val="22"/>
          <w:highlight w:val="white"/>
        </w:rPr>
        <w:t>8</w:t>
      </w:r>
      <w:r>
        <w:rPr>
          <w:color w:val="222222"/>
          <w:sz w:val="22"/>
          <w:szCs w:val="22"/>
          <w:highlight w:val="white"/>
        </w:rPr>
        <w:t xml:space="preserve">(1), n1. </w:t>
      </w:r>
      <w:hyperlink r:id="rId8">
        <w:r>
          <w:rPr>
            <w:color w:val="1155CC"/>
            <w:sz w:val="22"/>
            <w:szCs w:val="22"/>
            <w:highlight w:val="white"/>
            <w:u w:val="single"/>
          </w:rPr>
          <w:t>https://eric.ed.gov/?id=EJ850358</w:t>
        </w:r>
      </w:hyperlink>
    </w:p>
    <w:p w14:paraId="27A5E188" w14:textId="77777777" w:rsidR="00E74EE9" w:rsidRDefault="00E74EE9" w:rsidP="00E74EE9">
      <w:pPr>
        <w:widowControl w:val="0"/>
        <w:spacing w:before="0" w:after="0" w:line="240" w:lineRule="auto"/>
        <w:rPr>
          <w:color w:val="222222"/>
          <w:sz w:val="22"/>
          <w:szCs w:val="22"/>
          <w:highlight w:val="white"/>
        </w:rPr>
      </w:pPr>
    </w:p>
    <w:p w14:paraId="21C9E6A4" w14:textId="77777777" w:rsidR="00E74EE9" w:rsidRDefault="00E74EE9" w:rsidP="00E74EE9">
      <w:pPr>
        <w:widowControl w:val="0"/>
        <w:spacing w:before="0" w:after="0" w:line="240" w:lineRule="auto"/>
        <w:rPr>
          <w:color w:val="222222"/>
          <w:sz w:val="22"/>
          <w:szCs w:val="22"/>
          <w:highlight w:val="white"/>
        </w:rPr>
      </w:pPr>
      <w:proofErr w:type="spellStart"/>
      <w:r>
        <w:rPr>
          <w:color w:val="222222"/>
          <w:sz w:val="22"/>
          <w:szCs w:val="22"/>
          <w:highlight w:val="white"/>
        </w:rPr>
        <w:t>Kurilovas</w:t>
      </w:r>
      <w:proofErr w:type="spellEnd"/>
      <w:r>
        <w:rPr>
          <w:color w:val="222222"/>
          <w:sz w:val="22"/>
          <w:szCs w:val="22"/>
          <w:highlight w:val="white"/>
        </w:rPr>
        <w:t xml:space="preserve">, E., </w:t>
      </w:r>
      <w:proofErr w:type="spellStart"/>
      <w:r>
        <w:rPr>
          <w:color w:val="222222"/>
          <w:sz w:val="22"/>
          <w:szCs w:val="22"/>
          <w:highlight w:val="white"/>
        </w:rPr>
        <w:t>Bireniene</w:t>
      </w:r>
      <w:proofErr w:type="spellEnd"/>
      <w:r>
        <w:rPr>
          <w:color w:val="222222"/>
          <w:sz w:val="22"/>
          <w:szCs w:val="22"/>
          <w:highlight w:val="white"/>
        </w:rPr>
        <w:t xml:space="preserve">, V., &amp; </w:t>
      </w:r>
      <w:proofErr w:type="spellStart"/>
      <w:r>
        <w:rPr>
          <w:color w:val="222222"/>
          <w:sz w:val="22"/>
          <w:szCs w:val="22"/>
          <w:highlight w:val="white"/>
        </w:rPr>
        <w:t>Serikoviene</w:t>
      </w:r>
      <w:proofErr w:type="spellEnd"/>
      <w:r>
        <w:rPr>
          <w:color w:val="222222"/>
          <w:sz w:val="22"/>
          <w:szCs w:val="22"/>
          <w:highlight w:val="white"/>
        </w:rPr>
        <w:t xml:space="preserve">, S. (2011). Methodology for evaluating quality and reusability of learning objects. </w:t>
      </w:r>
      <w:r>
        <w:rPr>
          <w:i/>
          <w:color w:val="222222"/>
          <w:sz w:val="22"/>
          <w:szCs w:val="22"/>
          <w:highlight w:val="white"/>
        </w:rPr>
        <w:t>Electronic Journal of e-Learning</w:t>
      </w:r>
      <w:r>
        <w:rPr>
          <w:color w:val="222222"/>
          <w:sz w:val="22"/>
          <w:szCs w:val="22"/>
          <w:highlight w:val="white"/>
        </w:rPr>
        <w:t xml:space="preserve">, </w:t>
      </w:r>
      <w:r>
        <w:rPr>
          <w:i/>
          <w:color w:val="222222"/>
          <w:sz w:val="22"/>
          <w:szCs w:val="22"/>
          <w:highlight w:val="white"/>
        </w:rPr>
        <w:t>9</w:t>
      </w:r>
      <w:r>
        <w:rPr>
          <w:color w:val="222222"/>
          <w:sz w:val="22"/>
          <w:szCs w:val="22"/>
          <w:highlight w:val="white"/>
        </w:rPr>
        <w:t xml:space="preserve">(1), pp. 39-51. </w:t>
      </w:r>
      <w:hyperlink r:id="rId9">
        <w:r>
          <w:rPr>
            <w:color w:val="1155CC"/>
            <w:sz w:val="22"/>
            <w:szCs w:val="22"/>
            <w:highlight w:val="white"/>
            <w:u w:val="single"/>
          </w:rPr>
          <w:t>https://academic-publishing.org/index.php/ejel/article/view/1604</w:t>
        </w:r>
      </w:hyperlink>
    </w:p>
    <w:p w14:paraId="59A1D8F3" w14:textId="77777777" w:rsidR="00E74EE9" w:rsidRDefault="00E74EE9" w:rsidP="00E74EE9">
      <w:pPr>
        <w:widowControl w:val="0"/>
        <w:spacing w:before="0" w:after="0" w:line="240" w:lineRule="auto"/>
        <w:rPr>
          <w:color w:val="222222"/>
          <w:sz w:val="22"/>
          <w:szCs w:val="22"/>
          <w:highlight w:val="white"/>
        </w:rPr>
      </w:pPr>
    </w:p>
    <w:p w14:paraId="310CC509" w14:textId="77777777" w:rsidR="00E74EE9" w:rsidRDefault="00E74EE9" w:rsidP="00E74EE9">
      <w:pPr>
        <w:widowControl w:val="0"/>
        <w:spacing w:before="0" w:after="0" w:line="240" w:lineRule="auto"/>
        <w:rPr>
          <w:sz w:val="22"/>
          <w:szCs w:val="22"/>
        </w:rPr>
      </w:pPr>
      <w:r>
        <w:rPr>
          <w:color w:val="222222"/>
          <w:sz w:val="22"/>
          <w:szCs w:val="22"/>
          <w:highlight w:val="white"/>
        </w:rPr>
        <w:t xml:space="preserve">Nesbit, J., </w:t>
      </w:r>
      <w:proofErr w:type="spellStart"/>
      <w:r>
        <w:rPr>
          <w:color w:val="222222"/>
          <w:sz w:val="22"/>
          <w:szCs w:val="22"/>
          <w:highlight w:val="white"/>
        </w:rPr>
        <w:t>Belfer</w:t>
      </w:r>
      <w:proofErr w:type="spellEnd"/>
      <w:r>
        <w:rPr>
          <w:color w:val="222222"/>
          <w:sz w:val="22"/>
          <w:szCs w:val="22"/>
          <w:highlight w:val="white"/>
        </w:rPr>
        <w:t xml:space="preserve">, K., &amp; Leacock, T. (2007). Learning object review instrument (LORI), Version 1.5. </w:t>
      </w:r>
      <w:r>
        <w:rPr>
          <w:i/>
          <w:color w:val="222222"/>
          <w:sz w:val="22"/>
          <w:szCs w:val="22"/>
          <w:highlight w:val="white"/>
        </w:rPr>
        <w:t>E-Learning Research and Assessment (</w:t>
      </w:r>
      <w:proofErr w:type="spellStart"/>
      <w:r>
        <w:rPr>
          <w:i/>
          <w:color w:val="222222"/>
          <w:sz w:val="22"/>
          <w:szCs w:val="22"/>
          <w:highlight w:val="white"/>
        </w:rPr>
        <w:t>eLera</w:t>
      </w:r>
      <w:proofErr w:type="spellEnd"/>
      <w:r>
        <w:rPr>
          <w:i/>
          <w:color w:val="222222"/>
          <w:sz w:val="22"/>
          <w:szCs w:val="22"/>
          <w:highlight w:val="white"/>
        </w:rPr>
        <w:t>) and the Portal for Online Objects in Learning (POOL)</w:t>
      </w:r>
      <w:r>
        <w:rPr>
          <w:color w:val="222222"/>
          <w:sz w:val="22"/>
          <w:szCs w:val="22"/>
          <w:highlight w:val="white"/>
        </w:rPr>
        <w:t xml:space="preserve">. </w:t>
      </w:r>
      <w:hyperlink r:id="rId10">
        <w:r>
          <w:rPr>
            <w:color w:val="1155CC"/>
            <w:sz w:val="22"/>
            <w:szCs w:val="22"/>
            <w:highlight w:val="white"/>
            <w:u w:val="single"/>
          </w:rPr>
          <w:t>https://edutechwiki.unige.ch/en/Learning_Object_Review_Instrument</w:t>
        </w:r>
      </w:hyperlink>
    </w:p>
    <w:p w14:paraId="51EFAD2E" w14:textId="77777777" w:rsidR="00E74EE9" w:rsidRDefault="00E74EE9" w:rsidP="00E74EE9">
      <w:pPr>
        <w:widowControl w:val="0"/>
        <w:spacing w:before="0" w:after="0" w:line="240" w:lineRule="auto"/>
        <w:rPr>
          <w:color w:val="222222"/>
          <w:sz w:val="22"/>
          <w:szCs w:val="22"/>
          <w:highlight w:val="white"/>
        </w:rPr>
      </w:pPr>
    </w:p>
    <w:p w14:paraId="72D39F6A" w14:textId="77777777" w:rsidR="00E74EE9" w:rsidRDefault="00E74EE9" w:rsidP="00E74EE9">
      <w:pPr>
        <w:widowControl w:val="0"/>
        <w:spacing w:before="0" w:after="0" w:line="240" w:lineRule="auto"/>
        <w:rPr>
          <w:color w:val="222222"/>
          <w:sz w:val="22"/>
          <w:szCs w:val="22"/>
          <w:highlight w:val="white"/>
        </w:rPr>
      </w:pPr>
      <w:r>
        <w:rPr>
          <w:color w:val="222222"/>
          <w:sz w:val="22"/>
          <w:szCs w:val="22"/>
          <w:highlight w:val="white"/>
        </w:rPr>
        <w:t xml:space="preserve">Pérez-Mateo, M., </w:t>
      </w:r>
      <w:proofErr w:type="spellStart"/>
      <w:r>
        <w:rPr>
          <w:color w:val="222222"/>
          <w:sz w:val="22"/>
          <w:szCs w:val="22"/>
          <w:highlight w:val="white"/>
        </w:rPr>
        <w:t>Maina</w:t>
      </w:r>
      <w:proofErr w:type="spellEnd"/>
      <w:r>
        <w:rPr>
          <w:color w:val="222222"/>
          <w:sz w:val="22"/>
          <w:szCs w:val="22"/>
          <w:highlight w:val="white"/>
        </w:rPr>
        <w:t xml:space="preserve">, M. F., </w:t>
      </w:r>
      <w:proofErr w:type="spellStart"/>
      <w:r>
        <w:rPr>
          <w:color w:val="222222"/>
          <w:sz w:val="22"/>
          <w:szCs w:val="22"/>
          <w:highlight w:val="white"/>
        </w:rPr>
        <w:t>Guitert</w:t>
      </w:r>
      <w:proofErr w:type="spellEnd"/>
      <w:r>
        <w:rPr>
          <w:color w:val="222222"/>
          <w:sz w:val="22"/>
          <w:szCs w:val="22"/>
          <w:highlight w:val="white"/>
        </w:rPr>
        <w:t xml:space="preserve">, M., &amp; Romero, M. (2011). Learner generated content: Quality criteria in online collaborative learning. </w:t>
      </w:r>
      <w:r>
        <w:rPr>
          <w:i/>
          <w:color w:val="222222"/>
          <w:sz w:val="22"/>
          <w:szCs w:val="22"/>
          <w:highlight w:val="white"/>
        </w:rPr>
        <w:t>European Journal of Open, Distance and E-Learning</w:t>
      </w:r>
      <w:r>
        <w:rPr>
          <w:color w:val="222222"/>
          <w:sz w:val="22"/>
          <w:szCs w:val="22"/>
          <w:highlight w:val="white"/>
        </w:rPr>
        <w:t xml:space="preserve">, </w:t>
      </w:r>
      <w:r>
        <w:rPr>
          <w:i/>
          <w:color w:val="222222"/>
          <w:sz w:val="22"/>
          <w:szCs w:val="22"/>
          <w:highlight w:val="white"/>
        </w:rPr>
        <w:t>14</w:t>
      </w:r>
      <w:r>
        <w:rPr>
          <w:color w:val="222222"/>
          <w:sz w:val="22"/>
          <w:szCs w:val="22"/>
          <w:highlight w:val="white"/>
        </w:rPr>
        <w:t xml:space="preserve">(2). </w:t>
      </w:r>
      <w:hyperlink r:id="rId11">
        <w:r>
          <w:rPr>
            <w:color w:val="1155CC"/>
            <w:sz w:val="22"/>
            <w:szCs w:val="22"/>
            <w:highlight w:val="white"/>
            <w:u w:val="single"/>
          </w:rPr>
          <w:t>https://old.eurodl.org/?p=special&amp;sp=</w:t>
        </w:r>
      </w:hyperlink>
      <w:hyperlink r:id="rId12">
        <w:r>
          <w:rPr>
            <w:color w:val="1155CC"/>
            <w:sz w:val="22"/>
            <w:szCs w:val="22"/>
            <w:highlight w:val="white"/>
            <w:u w:val="single"/>
          </w:rPr>
          <w:t>articles&amp;article</w:t>
        </w:r>
      </w:hyperlink>
      <w:hyperlink r:id="rId13">
        <w:r>
          <w:rPr>
            <w:color w:val="1155CC"/>
            <w:sz w:val="22"/>
            <w:szCs w:val="22"/>
            <w:highlight w:val="white"/>
            <w:u w:val="single"/>
          </w:rPr>
          <w:t>=</w:t>
        </w:r>
      </w:hyperlink>
      <w:hyperlink r:id="rId14">
        <w:r>
          <w:rPr>
            <w:color w:val="1155CC"/>
            <w:sz w:val="22"/>
            <w:szCs w:val="22"/>
            <w:highlight w:val="white"/>
            <w:u w:val="single"/>
          </w:rPr>
          <w:t>461&amp;article</w:t>
        </w:r>
      </w:hyperlink>
      <w:hyperlink r:id="rId15">
        <w:r>
          <w:rPr>
            <w:color w:val="1155CC"/>
            <w:sz w:val="22"/>
            <w:szCs w:val="22"/>
            <w:highlight w:val="white"/>
            <w:u w:val="single"/>
          </w:rPr>
          <w:t>=</w:t>
        </w:r>
      </w:hyperlink>
      <w:hyperlink r:id="rId16">
        <w:r>
          <w:rPr>
            <w:color w:val="1155CC"/>
            <w:sz w:val="22"/>
            <w:szCs w:val="22"/>
            <w:highlight w:val="white"/>
            <w:u w:val="single"/>
          </w:rPr>
          <w:t>455&amp;article</w:t>
        </w:r>
      </w:hyperlink>
      <w:hyperlink r:id="rId17">
        <w:r>
          <w:rPr>
            <w:color w:val="1155CC"/>
            <w:sz w:val="22"/>
            <w:szCs w:val="22"/>
            <w:highlight w:val="white"/>
            <w:u w:val="single"/>
          </w:rPr>
          <w:t>=459</w:t>
        </w:r>
      </w:hyperlink>
    </w:p>
    <w:p w14:paraId="3B97A051" w14:textId="77777777" w:rsidR="00E74EE9" w:rsidRDefault="00E74EE9" w:rsidP="00E74EE9">
      <w:pPr>
        <w:widowControl w:val="0"/>
        <w:spacing w:before="0" w:after="0" w:line="240" w:lineRule="auto"/>
        <w:rPr>
          <w:color w:val="222222"/>
          <w:sz w:val="22"/>
          <w:szCs w:val="22"/>
          <w:highlight w:val="white"/>
        </w:rPr>
      </w:pPr>
    </w:p>
    <w:p w14:paraId="42EE122D" w14:textId="77777777" w:rsidR="00E74EE9" w:rsidRDefault="00E74EE9" w:rsidP="00E74EE9">
      <w:pPr>
        <w:widowControl w:val="0"/>
        <w:spacing w:before="0" w:after="0" w:line="240" w:lineRule="auto"/>
        <w:rPr>
          <w:sz w:val="22"/>
          <w:szCs w:val="22"/>
        </w:rPr>
      </w:pPr>
      <w:r>
        <w:rPr>
          <w:i/>
          <w:sz w:val="22"/>
          <w:szCs w:val="22"/>
        </w:rPr>
        <w:t>Plainlanguage.gov | Clear writing and plain language</w:t>
      </w:r>
      <w:r>
        <w:rPr>
          <w:sz w:val="22"/>
          <w:szCs w:val="22"/>
        </w:rPr>
        <w:t xml:space="preserve">. (n.d.). </w:t>
      </w:r>
      <w:hyperlink r:id="rId18">
        <w:r>
          <w:rPr>
            <w:color w:val="1155CC"/>
            <w:sz w:val="22"/>
            <w:szCs w:val="22"/>
            <w:u w:val="single"/>
          </w:rPr>
          <w:t>https://www.plainlanguage.gov/about/definitions/clear-writing-and-plain-language/</w:t>
        </w:r>
      </w:hyperlink>
    </w:p>
    <w:p w14:paraId="423C1E84" w14:textId="77777777" w:rsidR="00E74EE9" w:rsidRDefault="00E74EE9" w:rsidP="00E74EE9">
      <w:pPr>
        <w:widowControl w:val="0"/>
        <w:spacing w:before="0" w:after="0" w:line="240" w:lineRule="auto"/>
        <w:rPr>
          <w:sz w:val="22"/>
          <w:szCs w:val="22"/>
        </w:rPr>
      </w:pPr>
    </w:p>
    <w:p w14:paraId="176B8373" w14:textId="77777777" w:rsidR="00E74EE9" w:rsidRDefault="00E74EE9" w:rsidP="00E74EE9">
      <w:pPr>
        <w:widowControl w:val="0"/>
        <w:spacing w:before="0" w:after="0" w:line="240" w:lineRule="auto"/>
        <w:rPr>
          <w:sz w:val="22"/>
          <w:szCs w:val="22"/>
        </w:rPr>
      </w:pPr>
      <w:r>
        <w:rPr>
          <w:i/>
          <w:sz w:val="22"/>
          <w:szCs w:val="22"/>
        </w:rPr>
        <w:t>Research guides: Open Educational Resources: Evaluating OER</w:t>
      </w:r>
      <w:r>
        <w:rPr>
          <w:sz w:val="22"/>
          <w:szCs w:val="22"/>
        </w:rPr>
        <w:t xml:space="preserve">. (n.d.). </w:t>
      </w:r>
      <w:hyperlink r:id="rId19">
        <w:r>
          <w:rPr>
            <w:color w:val="1155CC"/>
            <w:sz w:val="22"/>
            <w:szCs w:val="22"/>
            <w:u w:val="single"/>
          </w:rPr>
          <w:t>https://libguides.lehman.edu/c.php?g=612694&amp;p=4255719</w:t>
        </w:r>
      </w:hyperlink>
    </w:p>
    <w:p w14:paraId="129E8FEC" w14:textId="77777777" w:rsidR="00E74EE9" w:rsidRDefault="00E74EE9" w:rsidP="00E74EE9">
      <w:pPr>
        <w:pBdr>
          <w:top w:val="nil"/>
          <w:left w:val="nil"/>
          <w:bottom w:val="nil"/>
          <w:right w:val="nil"/>
          <w:between w:val="nil"/>
        </w:pBdr>
        <w:spacing w:before="0" w:after="160"/>
        <w:rPr>
          <w:i/>
        </w:rPr>
      </w:pPr>
    </w:p>
    <w:p w14:paraId="68040C9A" w14:textId="77777777" w:rsidR="00E74EE9" w:rsidRDefault="00E74EE9" w:rsidP="00E74EE9">
      <w:pPr>
        <w:rPr>
          <w:i/>
        </w:rPr>
      </w:pPr>
      <w:r>
        <w:rPr>
          <w:sz w:val="22"/>
          <w:szCs w:val="22"/>
          <w:vertAlign w:val="superscript"/>
        </w:rPr>
        <w:t>1</w:t>
      </w:r>
      <w:r>
        <w:rPr>
          <w:sz w:val="22"/>
          <w:szCs w:val="22"/>
        </w:rPr>
        <w:t xml:space="preserve">This rubric is based on the protocol developed by the CREATE Adult Skills Network team to review technical assistance resources for inclusion in the CREATE </w:t>
      </w:r>
      <w:hyperlink r:id="rId20">
        <w:r>
          <w:rPr>
            <w:color w:val="1155CC"/>
            <w:sz w:val="22"/>
            <w:szCs w:val="22"/>
            <w:u w:val="single"/>
          </w:rPr>
          <w:t>Edtech Technical Assistance Library</w:t>
        </w:r>
      </w:hyperlink>
      <w:r>
        <w:rPr>
          <w:sz w:val="22"/>
          <w:szCs w:val="22"/>
        </w:rPr>
        <w:t xml:space="preserve">. </w:t>
      </w:r>
    </w:p>
    <w:p w14:paraId="2D58EA73" w14:textId="7E644ECD" w:rsidR="00461453" w:rsidRDefault="00E74EE9" w:rsidP="00E74EE9">
      <w:pPr>
        <w:jc w:val="center"/>
      </w:pPr>
      <w:r>
        <w:rPr>
          <w:i/>
          <w:sz w:val="20"/>
          <w:szCs w:val="20"/>
        </w:rPr>
        <w:t>The work of the CREATE Adult Skills Network is supported by the Institute of Education Sciences at the U.S. Department of Education through AWARD R305N210014 to the American Institutes for Research (AIR).</w:t>
      </w:r>
    </w:p>
    <w:sectPr w:rsidR="00461453" w:rsidSect="00E74EE9">
      <w:headerReference w:type="default" r:id="rId21"/>
      <w:footerReference w:type="even" r:id="rId22"/>
      <w:footerReference w:type="default" r:id="rId23"/>
      <w:pgSz w:w="12240" w:h="15840"/>
      <w:pgMar w:top="1911" w:right="1440" w:bottom="1440" w:left="1440" w:header="115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EA487" w14:textId="77777777" w:rsidR="006E6C74" w:rsidRDefault="006E6C74" w:rsidP="00E74EE9">
      <w:pPr>
        <w:spacing w:before="0" w:after="0" w:line="240" w:lineRule="auto"/>
      </w:pPr>
      <w:r>
        <w:separator/>
      </w:r>
    </w:p>
  </w:endnote>
  <w:endnote w:type="continuationSeparator" w:id="0">
    <w:p w14:paraId="2132EEE9" w14:textId="77777777" w:rsidR="006E6C74" w:rsidRDefault="006E6C74" w:rsidP="00E74E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8100359"/>
      <w:docPartObj>
        <w:docPartGallery w:val="Page Numbers (Bottom of Page)"/>
        <w:docPartUnique/>
      </w:docPartObj>
    </w:sdtPr>
    <w:sdtContent>
      <w:p w14:paraId="3F5820DB" w14:textId="6E22B702" w:rsidR="00E74EE9" w:rsidRDefault="00E74EE9" w:rsidP="002076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A99AFC" w14:textId="77777777" w:rsidR="00E74EE9" w:rsidRDefault="00E74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7264685"/>
      <w:docPartObj>
        <w:docPartGallery w:val="Page Numbers (Bottom of Page)"/>
        <w:docPartUnique/>
      </w:docPartObj>
    </w:sdtPr>
    <w:sdtContent>
      <w:p w14:paraId="4836AF53" w14:textId="77777777" w:rsidR="00E74EE9" w:rsidRDefault="00E74EE9" w:rsidP="00E74EE9">
        <w:pPr>
          <w:pStyle w:val="Footer"/>
          <w:framePr w:wrap="none" w:vAnchor="text" w:hAnchor="margin" w:xAlign="center" w:y="-634"/>
          <w:rPr>
            <w:rStyle w:val="PageNumber"/>
          </w:rPr>
        </w:pPr>
      </w:p>
      <w:p w14:paraId="1D16186E" w14:textId="0061EFBC" w:rsidR="00E74EE9" w:rsidRDefault="00E74EE9" w:rsidP="00E74EE9">
        <w:pPr>
          <w:pStyle w:val="Footer"/>
          <w:framePr w:wrap="none" w:vAnchor="text" w:hAnchor="margin" w:xAlign="center" w:y="-634"/>
          <w:pBdr>
            <w:top w:val="single" w:sz="18" w:space="1" w:color="C45911" w:themeColor="accent2" w:themeShade="BF"/>
          </w:pBd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8B84E9" w14:textId="77777777" w:rsidR="00E74EE9" w:rsidRDefault="00E74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9DBDA" w14:textId="77777777" w:rsidR="006E6C74" w:rsidRDefault="006E6C74" w:rsidP="00E74EE9">
      <w:pPr>
        <w:spacing w:before="0" w:after="0" w:line="240" w:lineRule="auto"/>
      </w:pPr>
      <w:r>
        <w:separator/>
      </w:r>
    </w:p>
  </w:footnote>
  <w:footnote w:type="continuationSeparator" w:id="0">
    <w:p w14:paraId="55F37102" w14:textId="77777777" w:rsidR="006E6C74" w:rsidRDefault="006E6C74" w:rsidP="00E74EE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8416" w14:textId="01F49A07" w:rsidR="00E74EE9" w:rsidRDefault="00E74EE9">
    <w:pPr>
      <w:pStyle w:val="Header"/>
    </w:pPr>
    <w:r>
      <w:rPr>
        <w:noProof/>
        <w:color w:val="4472C4"/>
        <w:sz w:val="22"/>
        <w:szCs w:val="22"/>
      </w:rPr>
      <w:drawing>
        <wp:anchor distT="0" distB="0" distL="0" distR="0" simplePos="0" relativeHeight="251659264" behindDoc="1" locked="0" layoutInCell="1" hidden="0" allowOverlap="1" wp14:anchorId="1FC5B5C4" wp14:editId="771DCFDF">
          <wp:simplePos x="0" y="0"/>
          <wp:positionH relativeFrom="page">
            <wp:posOffset>917575</wp:posOffset>
          </wp:positionH>
          <wp:positionV relativeFrom="page">
            <wp:posOffset>339814</wp:posOffset>
          </wp:positionV>
          <wp:extent cx="5934456" cy="749808"/>
          <wp:effectExtent l="0" t="0" r="0" b="0"/>
          <wp:wrapNone/>
          <wp:docPr id="5" name="image1.png" descr="CREATE Adult Skills Network logo"/>
          <wp:cNvGraphicFramePr/>
          <a:graphic xmlns:a="http://schemas.openxmlformats.org/drawingml/2006/main">
            <a:graphicData uri="http://schemas.openxmlformats.org/drawingml/2006/picture">
              <pic:pic xmlns:pic="http://schemas.openxmlformats.org/drawingml/2006/picture">
                <pic:nvPicPr>
                  <pic:cNvPr id="5" name="image1.png" descr="CREATE Adult Skills Network logo"/>
                  <pic:cNvPicPr preferRelativeResize="0"/>
                </pic:nvPicPr>
                <pic:blipFill>
                  <a:blip r:embed="rId1"/>
                  <a:srcRect/>
                  <a:stretch>
                    <a:fillRect/>
                  </a:stretch>
                </pic:blipFill>
                <pic:spPr>
                  <a:xfrm>
                    <a:off x="0" y="0"/>
                    <a:ext cx="5934456" cy="74980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E9"/>
    <w:rsid w:val="00461453"/>
    <w:rsid w:val="00470495"/>
    <w:rsid w:val="006E6C74"/>
    <w:rsid w:val="00E7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1898B9"/>
  <w15:chartTrackingRefBased/>
  <w15:docId w15:val="{4ED56C73-463F-2B43-BDFA-E0AB1E12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EE9"/>
    <w:pPr>
      <w:spacing w:before="120" w:after="120" w:line="276" w:lineRule="auto"/>
    </w:pPr>
    <w:rPr>
      <w:rFonts w:ascii="Calibri" w:eastAsia="Calibri" w:hAnsi="Calibri" w:cs="Calibri"/>
      <w:kern w:val="0"/>
      <w:szCs w:val="28"/>
      <w14:ligatures w14:val="none"/>
    </w:rPr>
  </w:style>
  <w:style w:type="paragraph" w:styleId="Heading1">
    <w:name w:val="heading 1"/>
    <w:basedOn w:val="Normal"/>
    <w:next w:val="Normal"/>
    <w:link w:val="Heading1Char"/>
    <w:uiPriority w:val="9"/>
    <w:qFormat/>
    <w:rsid w:val="00E74EE9"/>
    <w:pPr>
      <w:keepNext/>
      <w:keepLines/>
      <w:spacing w:before="480"/>
      <w:outlineLvl w:val="0"/>
    </w:pPr>
    <w:rPr>
      <w:b/>
      <w:sz w:val="48"/>
      <w:szCs w:val="48"/>
    </w:rPr>
  </w:style>
  <w:style w:type="paragraph" w:styleId="Heading2">
    <w:name w:val="heading 2"/>
    <w:basedOn w:val="Normal"/>
    <w:next w:val="Normal"/>
    <w:link w:val="Heading2Char"/>
    <w:uiPriority w:val="9"/>
    <w:unhideWhenUsed/>
    <w:qFormat/>
    <w:rsid w:val="00E74E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EE9"/>
    <w:rPr>
      <w:rFonts w:ascii="Calibri" w:eastAsia="Calibri" w:hAnsi="Calibri" w:cs="Calibri"/>
      <w:b/>
      <w:kern w:val="0"/>
      <w:sz w:val="48"/>
      <w:szCs w:val="48"/>
      <w14:ligatures w14:val="none"/>
    </w:rPr>
  </w:style>
  <w:style w:type="character" w:customStyle="1" w:styleId="Heading2Char">
    <w:name w:val="Heading 2 Char"/>
    <w:basedOn w:val="DefaultParagraphFont"/>
    <w:link w:val="Heading2"/>
    <w:uiPriority w:val="9"/>
    <w:rsid w:val="00E74EE9"/>
    <w:rPr>
      <w:rFonts w:asciiTheme="majorHAnsi" w:eastAsiaTheme="majorEastAsia" w:hAnsiTheme="majorHAnsi" w:cstheme="majorBidi"/>
      <w:color w:val="2F5496" w:themeColor="accent1" w:themeShade="BF"/>
      <w:kern w:val="0"/>
      <w:sz w:val="26"/>
      <w:szCs w:val="26"/>
      <w14:ligatures w14:val="none"/>
    </w:rPr>
  </w:style>
  <w:style w:type="paragraph" w:styleId="Header">
    <w:name w:val="header"/>
    <w:basedOn w:val="Normal"/>
    <w:link w:val="HeaderChar"/>
    <w:uiPriority w:val="99"/>
    <w:unhideWhenUsed/>
    <w:rsid w:val="00E74EE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74EE9"/>
    <w:rPr>
      <w:rFonts w:ascii="Calibri" w:eastAsia="Calibri" w:hAnsi="Calibri" w:cs="Calibri"/>
      <w:kern w:val="0"/>
      <w:szCs w:val="28"/>
      <w14:ligatures w14:val="none"/>
    </w:rPr>
  </w:style>
  <w:style w:type="paragraph" w:styleId="Footer">
    <w:name w:val="footer"/>
    <w:basedOn w:val="Normal"/>
    <w:link w:val="FooterChar"/>
    <w:uiPriority w:val="99"/>
    <w:unhideWhenUsed/>
    <w:rsid w:val="00E74EE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74EE9"/>
    <w:rPr>
      <w:rFonts w:ascii="Calibri" w:eastAsia="Calibri" w:hAnsi="Calibri" w:cs="Calibri"/>
      <w:kern w:val="0"/>
      <w:szCs w:val="28"/>
      <w14:ligatures w14:val="none"/>
    </w:rPr>
  </w:style>
  <w:style w:type="character" w:styleId="PageNumber">
    <w:name w:val="page number"/>
    <w:basedOn w:val="DefaultParagraphFont"/>
    <w:uiPriority w:val="99"/>
    <w:semiHidden/>
    <w:unhideWhenUsed/>
    <w:rsid w:val="00E74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ic.ed.gov/?id=EJ850358" TargetMode="External"/><Relationship Id="rId13" Type="http://schemas.openxmlformats.org/officeDocument/2006/relationships/hyperlink" Target="https://old.eurodl.org/?p=special&amp;sp=articles&amp;article=461&amp;article=455&amp;article=459" TargetMode="External"/><Relationship Id="rId18" Type="http://schemas.openxmlformats.org/officeDocument/2006/relationships/hyperlink" Target="https://www.plainlanguage.gov/about/definitions/clear-writing-and-plain-language/"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dlib.org/dlib/october05/custard/10custard.html" TargetMode="External"/><Relationship Id="rId12" Type="http://schemas.openxmlformats.org/officeDocument/2006/relationships/hyperlink" Target="https://old.eurodl.org/?p=special&amp;sp=articles&amp;article=461&amp;article=455&amp;article=459" TargetMode="External"/><Relationship Id="rId17" Type="http://schemas.openxmlformats.org/officeDocument/2006/relationships/hyperlink" Target="https://old.eurodl.org/?p=special&amp;sp=articles&amp;article=461&amp;article=455&amp;article=459"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old.eurodl.org/?p=special&amp;sp=articles&amp;article=461&amp;article=455&amp;article=459" TargetMode="External"/><Relationship Id="rId20" Type="http://schemas.openxmlformats.org/officeDocument/2006/relationships/hyperlink" Target="https://createadultskills.org/edtech-ta-library" TargetMode="External"/><Relationship Id="rId1" Type="http://schemas.openxmlformats.org/officeDocument/2006/relationships/styles" Target="styles.xml"/><Relationship Id="rId6" Type="http://schemas.openxmlformats.org/officeDocument/2006/relationships/hyperlink" Target="http://www.achieve.org/publications/achieve-oer-rubrics" TargetMode="External"/><Relationship Id="rId11" Type="http://schemas.openxmlformats.org/officeDocument/2006/relationships/hyperlink" Target="https://old.eurodl.org/?p=special&amp;sp=articles&amp;article=461&amp;article=455&amp;article=459"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old.eurodl.org/?p=special&amp;sp=articles&amp;article=461&amp;article=455&amp;article=459" TargetMode="External"/><Relationship Id="rId23" Type="http://schemas.openxmlformats.org/officeDocument/2006/relationships/footer" Target="footer2.xml"/><Relationship Id="rId10" Type="http://schemas.openxmlformats.org/officeDocument/2006/relationships/hyperlink" Target="https://edutechwiki.unige.ch/en/Learning_Object_Review_Instrument" TargetMode="External"/><Relationship Id="rId19" Type="http://schemas.openxmlformats.org/officeDocument/2006/relationships/hyperlink" Target="https://libguides.lehman.edu/c.php?g=612694&amp;p=4255719" TargetMode="External"/><Relationship Id="rId4" Type="http://schemas.openxmlformats.org/officeDocument/2006/relationships/footnotes" Target="footnotes.xml"/><Relationship Id="rId9" Type="http://schemas.openxmlformats.org/officeDocument/2006/relationships/hyperlink" Target="https://academic-publishing.org/index.php/ejel/article/view/1604" TargetMode="External"/><Relationship Id="rId14" Type="http://schemas.openxmlformats.org/officeDocument/2006/relationships/hyperlink" Target="https://old.eurodl.org/?p=special&amp;sp=articles&amp;article=461&amp;article=455&amp;article=459"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569</Words>
  <Characters>3933</Characters>
  <Application>Microsoft Office Word</Application>
  <DocSecurity>0</DocSecurity>
  <Lines>157</Lines>
  <Paragraphs>54</Paragraphs>
  <ScaleCrop>false</ScaleCrop>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Giguere, Paul</dc:creator>
  <cp:keywords/>
  <dc:description/>
  <cp:lastModifiedBy>Giguere, Paul</cp:lastModifiedBy>
  <cp:revision>1</cp:revision>
  <dcterms:created xsi:type="dcterms:W3CDTF">2023-11-15T13:25:00Z</dcterms:created>
  <dcterms:modified xsi:type="dcterms:W3CDTF">2023-11-15T13:32:00Z</dcterms:modified>
</cp:coreProperties>
</file>